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C0" w:rsidRDefault="00D871C0">
      <w:pPr>
        <w:rPr>
          <w:rFonts w:ascii="Arial" w:hAnsi="Arial" w:cs="Arial"/>
          <w:b/>
          <w:sz w:val="28"/>
          <w:szCs w:val="28"/>
        </w:rPr>
      </w:pPr>
      <w:r w:rsidRPr="00D871C0">
        <w:rPr>
          <w:rFonts w:ascii="Arial" w:eastAsia="Times New Roman" w:hAnsi="Arial" w:cs="Times New Roman"/>
          <w:noProof/>
          <w:szCs w:val="16"/>
          <w:lang w:eastAsia="en-GB"/>
        </w:rPr>
        <mc:AlternateContent>
          <mc:Choice Requires="wps">
            <w:drawing>
              <wp:anchor distT="36576" distB="36576" distL="36576" distR="36576" simplePos="0" relativeHeight="251663360" behindDoc="0" locked="0" layoutInCell="1" allowOverlap="1" wp14:anchorId="013592B0" wp14:editId="7F491BE9">
                <wp:simplePos x="0" y="0"/>
                <wp:positionH relativeFrom="margin">
                  <wp:posOffset>1428750</wp:posOffset>
                </wp:positionH>
                <wp:positionV relativeFrom="paragraph">
                  <wp:posOffset>1962150</wp:posOffset>
                </wp:positionV>
                <wp:extent cx="4315460" cy="1924050"/>
                <wp:effectExtent l="0" t="0" r="889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460" cy="1924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871C0" w:rsidRDefault="00D871C0" w:rsidP="00D871C0">
                            <w:pPr>
                              <w:widowControl w:val="0"/>
                              <w:jc w:val="center"/>
                              <w:rPr>
                                <w:rFonts w:cs="Arial"/>
                                <w:b/>
                                <w:bCs/>
                                <w:color w:val="00A5D1"/>
                                <w:sz w:val="44"/>
                                <w:szCs w:val="44"/>
                              </w:rPr>
                            </w:pPr>
                            <w:r w:rsidRPr="00E76380">
                              <w:rPr>
                                <w:rFonts w:cs="Arial"/>
                                <w:b/>
                                <w:bCs/>
                                <w:color w:val="00A5D1"/>
                                <w:sz w:val="44"/>
                                <w:szCs w:val="44"/>
                              </w:rPr>
                              <w:t>SOUTH RIBBLE</w:t>
                            </w:r>
                            <w:r>
                              <w:rPr>
                                <w:rFonts w:cs="Arial"/>
                                <w:b/>
                                <w:bCs/>
                                <w:color w:val="00A5D1"/>
                                <w:sz w:val="44"/>
                                <w:szCs w:val="44"/>
                              </w:rPr>
                              <w:t xml:space="preserve"> BOROUGH COUNCIL</w:t>
                            </w:r>
                          </w:p>
                          <w:p w:rsidR="00D871C0" w:rsidRPr="00E76380" w:rsidRDefault="00D871C0" w:rsidP="00D871C0">
                            <w:pPr>
                              <w:widowControl w:val="0"/>
                              <w:rPr>
                                <w:rFonts w:cs="Arial"/>
                                <w:b/>
                                <w:bCs/>
                                <w:color w:val="00A5D1"/>
                                <w:sz w:val="44"/>
                                <w:szCs w:val="44"/>
                              </w:rPr>
                            </w:pPr>
                            <w:r>
                              <w:rPr>
                                <w:rFonts w:cs="Arial"/>
                                <w:b/>
                                <w:bCs/>
                                <w:color w:val="00A5D1"/>
                                <w:sz w:val="44"/>
                                <w:szCs w:val="44"/>
                              </w:rPr>
                              <w:t>INVESTMENT PROPERTY STRATEGY</w:t>
                            </w:r>
                          </w:p>
                          <w:p w:rsidR="00D871C0" w:rsidRPr="00175255" w:rsidRDefault="00D871C0" w:rsidP="00D871C0">
                            <w:pPr>
                              <w:widowControl w:val="0"/>
                              <w:jc w:val="right"/>
                              <w:rPr>
                                <w:rFonts w:cs="Arial"/>
                                <w:b/>
                                <w:bCs/>
                                <w:color w:val="00A5D1"/>
                                <w:sz w:val="24"/>
                                <w:szCs w:val="44"/>
                              </w:rPr>
                            </w:pPr>
                          </w:p>
                          <w:p w:rsidR="00D871C0" w:rsidRPr="00175255" w:rsidRDefault="00D871C0" w:rsidP="00D871C0">
                            <w:pPr>
                              <w:widowControl w:val="0"/>
                              <w:jc w:val="right"/>
                              <w:rPr>
                                <w:rFonts w:cs="Arial"/>
                                <w:b/>
                                <w:bCs/>
                                <w:color w:val="00A5D1"/>
                                <w:sz w:val="32"/>
                                <w:szCs w:val="56"/>
                              </w:rPr>
                            </w:pPr>
                            <w:r>
                              <w:rPr>
                                <w:rFonts w:cs="Arial"/>
                                <w:b/>
                                <w:bCs/>
                                <w:color w:val="00A5D1"/>
                                <w:sz w:val="32"/>
                                <w:szCs w:val="56"/>
                              </w:rPr>
                              <w:t>November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592B0" id="_x0000_t202" coordsize="21600,21600" o:spt="202" path="m,l,21600r21600,l21600,xe">
                <v:stroke joinstyle="miter"/>
                <v:path gradientshapeok="t" o:connecttype="rect"/>
              </v:shapetype>
              <v:shape id="Text Box 5" o:spid="_x0000_s1026" type="#_x0000_t202" style="position:absolute;margin-left:112.5pt;margin-top:154.5pt;width:339.8pt;height:151.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" filled="f" stroked="f" insetpen="t">
                <v:textbox inset="2.88pt,2.88pt,2.88pt,2.88pt">
                  <w:txbxContent>
                    <w:p w:rsidR="00D871C0" w:rsidRDefault="00D871C0" w:rsidP="00D871C0">
                      <w:pPr>
                        <w:widowControl w:val="0"/>
                        <w:jc w:val="center"/>
                        <w:rPr>
                          <w:rFonts w:cs="Arial"/>
                          <w:b/>
                          <w:bCs/>
                          <w:color w:val="00A5D1"/>
                          <w:sz w:val="44"/>
                          <w:szCs w:val="44"/>
                        </w:rPr>
                      </w:pPr>
                      <w:r w:rsidRPr="00E76380">
                        <w:rPr>
                          <w:rFonts w:cs="Arial"/>
                          <w:b/>
                          <w:bCs/>
                          <w:color w:val="00A5D1"/>
                          <w:sz w:val="44"/>
                          <w:szCs w:val="44"/>
                        </w:rPr>
                        <w:t>SOUTH RIBBLE</w:t>
                      </w:r>
                      <w:r>
                        <w:rPr>
                          <w:rFonts w:cs="Arial"/>
                          <w:b/>
                          <w:bCs/>
                          <w:color w:val="00A5D1"/>
                          <w:sz w:val="44"/>
                          <w:szCs w:val="44"/>
                        </w:rPr>
                        <w:t xml:space="preserve"> BOROUGH COUNCIL</w:t>
                      </w:r>
                    </w:p>
                    <w:p w:rsidR="00D871C0" w:rsidRPr="00E76380" w:rsidRDefault="00D871C0" w:rsidP="00D871C0">
                      <w:pPr>
                        <w:widowControl w:val="0"/>
                        <w:rPr>
                          <w:rFonts w:cs="Arial"/>
                          <w:b/>
                          <w:bCs/>
                          <w:color w:val="00A5D1"/>
                          <w:sz w:val="44"/>
                          <w:szCs w:val="44"/>
                        </w:rPr>
                      </w:pPr>
                      <w:r>
                        <w:rPr>
                          <w:rFonts w:cs="Arial"/>
                          <w:b/>
                          <w:bCs/>
                          <w:color w:val="00A5D1"/>
                          <w:sz w:val="44"/>
                          <w:szCs w:val="44"/>
                        </w:rPr>
                        <w:t>INVESTMENT PROPERTY STRATEGY</w:t>
                      </w:r>
                    </w:p>
                    <w:p w:rsidR="00D871C0" w:rsidRPr="00175255" w:rsidRDefault="00D871C0" w:rsidP="00D871C0">
                      <w:pPr>
                        <w:widowControl w:val="0"/>
                        <w:jc w:val="right"/>
                        <w:rPr>
                          <w:rFonts w:cs="Arial"/>
                          <w:b/>
                          <w:bCs/>
                          <w:color w:val="00A5D1"/>
                          <w:sz w:val="24"/>
                          <w:szCs w:val="44"/>
                        </w:rPr>
                      </w:pPr>
                    </w:p>
                    <w:p w:rsidR="00D871C0" w:rsidRPr="00175255" w:rsidRDefault="00D871C0" w:rsidP="00D871C0">
                      <w:pPr>
                        <w:widowControl w:val="0"/>
                        <w:jc w:val="right"/>
                        <w:rPr>
                          <w:rFonts w:cs="Arial"/>
                          <w:b/>
                          <w:bCs/>
                          <w:color w:val="00A5D1"/>
                          <w:sz w:val="32"/>
                          <w:szCs w:val="56"/>
                        </w:rPr>
                      </w:pPr>
                      <w:r>
                        <w:rPr>
                          <w:rFonts w:cs="Arial"/>
                          <w:b/>
                          <w:bCs/>
                          <w:color w:val="00A5D1"/>
                          <w:sz w:val="32"/>
                          <w:szCs w:val="56"/>
                        </w:rPr>
                        <w:t>November 2017</w:t>
                      </w:r>
                    </w:p>
                  </w:txbxContent>
                </v:textbox>
                <w10:wrap anchorx="margin"/>
              </v:shape>
            </w:pict>
          </mc:Fallback>
        </mc:AlternateContent>
      </w:r>
      <w:r w:rsidRPr="00D871C0">
        <w:rPr>
          <w:rFonts w:ascii="Arial" w:eastAsia="Times New Roman" w:hAnsi="Arial" w:cs="Times New Roman"/>
          <w:noProof/>
          <w:szCs w:val="16"/>
          <w:lang w:eastAsia="en-GB"/>
        </w:rPr>
        <w:drawing>
          <wp:anchor distT="0" distB="0" distL="114300" distR="114300" simplePos="0" relativeHeight="251661312" behindDoc="0" locked="0" layoutInCell="1" allowOverlap="1" wp14:anchorId="3C73B06E" wp14:editId="3D442FFF">
            <wp:simplePos x="0" y="0"/>
            <wp:positionH relativeFrom="page">
              <wp:posOffset>104775</wp:posOffset>
            </wp:positionH>
            <wp:positionV relativeFrom="paragraph">
              <wp:posOffset>3819525</wp:posOffset>
            </wp:positionV>
            <wp:extent cx="4723130" cy="4679950"/>
            <wp:effectExtent l="0" t="0" r="1270" b="6350"/>
            <wp:wrapSquare wrapText="bothSides"/>
            <wp:docPr id="22" name="Picture 22" descr="Planning Policy logo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ning Policy logo -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3130" cy="467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1C0">
        <w:rPr>
          <w:rFonts w:ascii="Arial" w:eastAsia="Times New Roman" w:hAnsi="Arial" w:cs="Times New Roman"/>
          <w:noProof/>
          <w:szCs w:val="16"/>
          <w:lang w:eastAsia="en-GB"/>
        </w:rPr>
        <mc:AlternateContent>
          <mc:Choice Requires="wps">
            <w:drawing>
              <wp:anchor distT="36576" distB="36576" distL="36576" distR="36576" simplePos="0" relativeHeight="251665408" behindDoc="0" locked="0" layoutInCell="1" allowOverlap="1" wp14:anchorId="0A22701D" wp14:editId="6633AED2">
                <wp:simplePos x="0" y="0"/>
                <wp:positionH relativeFrom="page">
                  <wp:align>left</wp:align>
                </wp:positionH>
                <wp:positionV relativeFrom="paragraph">
                  <wp:posOffset>-896620</wp:posOffset>
                </wp:positionV>
                <wp:extent cx="7596505" cy="478155"/>
                <wp:effectExtent l="0" t="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505" cy="478155"/>
                        </a:xfrm>
                        <a:prstGeom prst="rect">
                          <a:avLst/>
                        </a:prstGeom>
                        <a:gradFill rotWithShape="1">
                          <a:gsLst>
                            <a:gs pos="0">
                              <a:srgbClr val="0C1C8C"/>
                            </a:gs>
                            <a:gs pos="50000">
                              <a:srgbClr val="00A5D1"/>
                            </a:gs>
                            <a:gs pos="100000">
                              <a:srgbClr val="0C1C8C"/>
                            </a:gs>
                          </a:gsLst>
                          <a:lin ang="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871C0" w:rsidRDefault="00D871C0" w:rsidP="00D871C0">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2701D" id="Rectangle 3" o:spid="_x0000_s1027" style="position:absolute;margin-left:0;margin-top:-70.6pt;width:598.15pt;height:37.65pt;z-index:251665408;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" fillcolor="#0c1c8c" stroked="f" insetpen="t">
                <v:fill color2="#00a5d1" rotate="t" angle="90" focus="50%" type="gradient"/>
                <v:shadow color="#ccc"/>
                <v:textbox inset="2.88pt,2.88pt,2.88pt,2.88pt">
                  <w:txbxContent>
                    <w:p w:rsidR="00D871C0" w:rsidRDefault="00D871C0" w:rsidP="00D871C0">
                      <w:pPr>
                        <w:jc w:val="center"/>
                      </w:pPr>
                    </w:p>
                  </w:txbxContent>
                </v:textbox>
                <w10:wrap anchorx="page"/>
              </v:rect>
            </w:pict>
          </mc:Fallback>
        </mc:AlternateContent>
      </w:r>
      <w:r w:rsidRPr="00D871C0">
        <w:rPr>
          <w:rFonts w:ascii="Arial" w:eastAsia="Times New Roman" w:hAnsi="Arial" w:cs="Times New Roman"/>
          <w:noProof/>
          <w:szCs w:val="16"/>
          <w:lang w:eastAsia="en-GB"/>
        </w:rPr>
        <w:drawing>
          <wp:anchor distT="36576" distB="36576" distL="36576" distR="36576" simplePos="0" relativeHeight="251659264" behindDoc="0" locked="0" layoutInCell="1" allowOverlap="1" wp14:anchorId="39C1DE1E" wp14:editId="5D72F55F">
            <wp:simplePos x="0" y="0"/>
            <wp:positionH relativeFrom="margin">
              <wp:posOffset>4533900</wp:posOffset>
            </wp:positionH>
            <wp:positionV relativeFrom="paragraph">
              <wp:posOffset>179705</wp:posOffset>
            </wp:positionV>
            <wp:extent cx="1486902" cy="1047964"/>
            <wp:effectExtent l="0" t="0" r="0" b="0"/>
            <wp:wrapNone/>
            <wp:docPr id="21" name="Picture 21" descr="South Ribb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 Ribb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902" cy="104796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br w:type="page"/>
      </w:r>
    </w:p>
    <w:p w:rsidR="00B709D4" w:rsidRPr="00CA0CBD" w:rsidRDefault="00B709D4" w:rsidP="00CA0CBD">
      <w:pPr>
        <w:jc w:val="center"/>
        <w:rPr>
          <w:b/>
          <w:sz w:val="24"/>
          <w:szCs w:val="24"/>
        </w:rPr>
      </w:pPr>
      <w:r w:rsidRPr="00A95263">
        <w:rPr>
          <w:rFonts w:ascii="Arial" w:hAnsi="Arial" w:cs="Arial"/>
          <w:b/>
          <w:sz w:val="28"/>
          <w:szCs w:val="28"/>
        </w:rPr>
        <w:lastRenderedPageBreak/>
        <w:t>Investment Property Strategy</w:t>
      </w:r>
    </w:p>
    <w:p w:rsidR="00B709D4" w:rsidRPr="00A95263" w:rsidRDefault="00B709D4" w:rsidP="00A95263">
      <w:pPr>
        <w:pStyle w:val="ListParagraph"/>
        <w:numPr>
          <w:ilvl w:val="0"/>
          <w:numId w:val="2"/>
        </w:numPr>
        <w:ind w:left="567" w:hanging="567"/>
        <w:rPr>
          <w:rFonts w:ascii="Arial" w:hAnsi="Arial" w:cs="Arial"/>
          <w:b/>
          <w:sz w:val="24"/>
          <w:szCs w:val="24"/>
          <w:u w:val="single"/>
        </w:rPr>
      </w:pPr>
      <w:r w:rsidRPr="00A95263">
        <w:rPr>
          <w:rFonts w:ascii="Arial" w:hAnsi="Arial" w:cs="Arial"/>
          <w:b/>
          <w:sz w:val="24"/>
          <w:szCs w:val="24"/>
          <w:u w:val="single"/>
        </w:rPr>
        <w:t>Background</w:t>
      </w:r>
    </w:p>
    <w:p w:rsidR="00A95263" w:rsidRDefault="006C19FF" w:rsidP="006C19FF">
      <w:pPr>
        <w:rPr>
          <w:rFonts w:ascii="Arial" w:hAnsi="Arial" w:cs="Arial"/>
          <w:sz w:val="24"/>
          <w:szCs w:val="24"/>
        </w:rPr>
      </w:pPr>
      <w:r w:rsidRPr="00A95263">
        <w:rPr>
          <w:rFonts w:ascii="Arial" w:hAnsi="Arial" w:cs="Arial"/>
          <w:sz w:val="24"/>
          <w:szCs w:val="24"/>
        </w:rPr>
        <w:t>The Council has a commercial non-operational tenant</w:t>
      </w:r>
      <w:r w:rsidR="00A95263">
        <w:rPr>
          <w:rFonts w:ascii="Arial" w:hAnsi="Arial" w:cs="Arial"/>
          <w:sz w:val="24"/>
          <w:szCs w:val="24"/>
        </w:rPr>
        <w:t xml:space="preserve">ed portfolio comprising of </w:t>
      </w:r>
      <w:r w:rsidR="00A1458D" w:rsidRPr="00A95263">
        <w:rPr>
          <w:rFonts w:ascii="Arial" w:hAnsi="Arial" w:cs="Arial"/>
          <w:sz w:val="24"/>
          <w:szCs w:val="24"/>
        </w:rPr>
        <w:t>9</w:t>
      </w:r>
      <w:r w:rsidR="00A95263">
        <w:rPr>
          <w:rFonts w:ascii="Arial" w:hAnsi="Arial" w:cs="Arial"/>
          <w:sz w:val="24"/>
          <w:szCs w:val="24"/>
        </w:rPr>
        <w:t>2</w:t>
      </w:r>
      <w:r w:rsidR="00A1458D" w:rsidRPr="00A95263">
        <w:rPr>
          <w:rFonts w:ascii="Arial" w:hAnsi="Arial" w:cs="Arial"/>
          <w:sz w:val="24"/>
          <w:szCs w:val="24"/>
        </w:rPr>
        <w:t xml:space="preserve"> </w:t>
      </w:r>
      <w:r w:rsidR="000604C5" w:rsidRPr="00A95263">
        <w:rPr>
          <w:rFonts w:ascii="Arial" w:hAnsi="Arial" w:cs="Arial"/>
          <w:sz w:val="24"/>
          <w:szCs w:val="24"/>
        </w:rPr>
        <w:t xml:space="preserve">assets generating </w:t>
      </w:r>
      <w:r w:rsidRPr="00A95263">
        <w:rPr>
          <w:rFonts w:ascii="Arial" w:hAnsi="Arial" w:cs="Arial"/>
          <w:sz w:val="24"/>
          <w:szCs w:val="24"/>
        </w:rPr>
        <w:t>a rent roll of £</w:t>
      </w:r>
      <w:r w:rsidR="00A95263">
        <w:rPr>
          <w:rFonts w:ascii="Arial" w:hAnsi="Arial" w:cs="Arial"/>
          <w:sz w:val="24"/>
          <w:szCs w:val="24"/>
        </w:rPr>
        <w:t>770,000</w:t>
      </w:r>
      <w:r w:rsidR="000604C5" w:rsidRPr="00A95263">
        <w:rPr>
          <w:rFonts w:ascii="Arial" w:hAnsi="Arial" w:cs="Arial"/>
          <w:sz w:val="24"/>
          <w:szCs w:val="24"/>
        </w:rPr>
        <w:t xml:space="preserve"> and valued at c £</w:t>
      </w:r>
      <w:r w:rsidR="00A95263">
        <w:rPr>
          <w:rFonts w:ascii="Arial" w:hAnsi="Arial" w:cs="Arial"/>
          <w:sz w:val="24"/>
          <w:szCs w:val="24"/>
        </w:rPr>
        <w:t>5.7</w:t>
      </w:r>
      <w:r w:rsidR="009607CC" w:rsidRPr="00A95263">
        <w:rPr>
          <w:rFonts w:ascii="Arial" w:hAnsi="Arial" w:cs="Arial"/>
          <w:sz w:val="24"/>
          <w:szCs w:val="24"/>
        </w:rPr>
        <w:t>m</w:t>
      </w:r>
      <w:r w:rsidR="00A95263">
        <w:rPr>
          <w:rFonts w:ascii="Arial" w:hAnsi="Arial" w:cs="Arial"/>
          <w:sz w:val="24"/>
          <w:szCs w:val="24"/>
        </w:rPr>
        <w:t>.</w:t>
      </w:r>
      <w:r w:rsidRPr="00A95263">
        <w:rPr>
          <w:rFonts w:ascii="Arial" w:hAnsi="Arial" w:cs="Arial"/>
          <w:sz w:val="24"/>
          <w:szCs w:val="24"/>
        </w:rPr>
        <w:t xml:space="preserve"> This stock ba</w:t>
      </w:r>
      <w:r w:rsidR="00A1458D" w:rsidRPr="00A95263">
        <w:rPr>
          <w:rFonts w:ascii="Arial" w:hAnsi="Arial" w:cs="Arial"/>
          <w:sz w:val="24"/>
          <w:szCs w:val="24"/>
        </w:rPr>
        <w:t xml:space="preserve">se is </w:t>
      </w:r>
      <w:r w:rsidRPr="00A95263">
        <w:rPr>
          <w:rFonts w:ascii="Arial" w:hAnsi="Arial" w:cs="Arial"/>
          <w:sz w:val="24"/>
          <w:szCs w:val="24"/>
        </w:rPr>
        <w:t xml:space="preserve">historic </w:t>
      </w:r>
      <w:r w:rsidR="00A95263">
        <w:rPr>
          <w:rFonts w:ascii="Arial" w:hAnsi="Arial" w:cs="Arial"/>
          <w:sz w:val="24"/>
          <w:szCs w:val="24"/>
        </w:rPr>
        <w:t xml:space="preserve">and </w:t>
      </w:r>
      <w:r w:rsidRPr="00A95263">
        <w:rPr>
          <w:rFonts w:ascii="Arial" w:hAnsi="Arial" w:cs="Arial"/>
          <w:sz w:val="24"/>
          <w:szCs w:val="24"/>
        </w:rPr>
        <w:t>comprise</w:t>
      </w:r>
      <w:r w:rsidR="00A95263">
        <w:rPr>
          <w:rFonts w:ascii="Arial" w:hAnsi="Arial" w:cs="Arial"/>
          <w:sz w:val="24"/>
          <w:szCs w:val="24"/>
        </w:rPr>
        <w:t>s:</w:t>
      </w:r>
    </w:p>
    <w:p w:rsidR="00A95263" w:rsidRPr="00A95263" w:rsidRDefault="00A95263" w:rsidP="00A95263">
      <w:pPr>
        <w:pStyle w:val="ListParagraph"/>
        <w:numPr>
          <w:ilvl w:val="0"/>
          <w:numId w:val="6"/>
        </w:numPr>
        <w:rPr>
          <w:rFonts w:ascii="Arial" w:hAnsi="Arial" w:cs="Arial"/>
          <w:sz w:val="24"/>
          <w:szCs w:val="24"/>
        </w:rPr>
      </w:pPr>
      <w:r w:rsidRPr="00A95263">
        <w:rPr>
          <w:rFonts w:ascii="Arial" w:hAnsi="Arial" w:cs="Arial"/>
          <w:sz w:val="24"/>
          <w:szCs w:val="24"/>
        </w:rPr>
        <w:t>76 Industrial Units on 10 sites</w:t>
      </w:r>
    </w:p>
    <w:p w:rsidR="00A95263" w:rsidRPr="00A95263" w:rsidRDefault="00A95263" w:rsidP="00A95263">
      <w:pPr>
        <w:pStyle w:val="ListParagraph"/>
        <w:numPr>
          <w:ilvl w:val="0"/>
          <w:numId w:val="6"/>
        </w:numPr>
        <w:rPr>
          <w:rFonts w:ascii="Arial" w:hAnsi="Arial" w:cs="Arial"/>
          <w:sz w:val="24"/>
          <w:szCs w:val="24"/>
        </w:rPr>
      </w:pPr>
      <w:r w:rsidRPr="00A95263">
        <w:rPr>
          <w:rFonts w:ascii="Arial" w:hAnsi="Arial" w:cs="Arial"/>
          <w:sz w:val="24"/>
          <w:szCs w:val="24"/>
        </w:rPr>
        <w:t>16 retail units at 3 sites</w:t>
      </w:r>
      <w:r w:rsidR="006C19FF" w:rsidRPr="00A95263">
        <w:rPr>
          <w:rFonts w:ascii="Arial" w:hAnsi="Arial" w:cs="Arial"/>
          <w:sz w:val="24"/>
          <w:szCs w:val="24"/>
        </w:rPr>
        <w:t xml:space="preserve"> </w:t>
      </w:r>
    </w:p>
    <w:p w:rsidR="00A95263" w:rsidRPr="00A95263" w:rsidRDefault="00A95263" w:rsidP="00A95263">
      <w:pPr>
        <w:pStyle w:val="ListParagraph"/>
        <w:numPr>
          <w:ilvl w:val="0"/>
          <w:numId w:val="6"/>
        </w:numPr>
        <w:rPr>
          <w:rFonts w:ascii="Arial" w:hAnsi="Arial" w:cs="Arial"/>
          <w:sz w:val="24"/>
          <w:szCs w:val="24"/>
        </w:rPr>
      </w:pPr>
      <w:r w:rsidRPr="00A95263">
        <w:rPr>
          <w:rFonts w:ascii="Arial" w:hAnsi="Arial" w:cs="Arial"/>
          <w:sz w:val="24"/>
          <w:szCs w:val="24"/>
        </w:rPr>
        <w:t>3 offices on 2 sites</w:t>
      </w:r>
    </w:p>
    <w:p w:rsidR="009C03CA" w:rsidRDefault="00A95263" w:rsidP="00A95263">
      <w:pPr>
        <w:rPr>
          <w:rFonts w:ascii="Arial" w:hAnsi="Arial" w:cs="Arial"/>
          <w:sz w:val="24"/>
          <w:szCs w:val="24"/>
        </w:rPr>
      </w:pPr>
      <w:r>
        <w:rPr>
          <w:rFonts w:ascii="Arial" w:hAnsi="Arial" w:cs="Arial"/>
          <w:sz w:val="24"/>
          <w:szCs w:val="24"/>
        </w:rPr>
        <w:t>These units have been held historically</w:t>
      </w:r>
      <w:r w:rsidR="009C03CA">
        <w:rPr>
          <w:rFonts w:ascii="Arial" w:hAnsi="Arial" w:cs="Arial"/>
          <w:sz w:val="24"/>
          <w:szCs w:val="24"/>
        </w:rPr>
        <w:t xml:space="preserve"> and are located within 6 main residential and employment locations across the Borough.</w:t>
      </w:r>
      <w:r w:rsidR="006C19FF" w:rsidRPr="00A95263">
        <w:rPr>
          <w:rFonts w:ascii="Arial" w:hAnsi="Arial" w:cs="Arial"/>
          <w:sz w:val="24"/>
          <w:szCs w:val="24"/>
        </w:rPr>
        <w:t xml:space="preserve">  All these properties are fairly small in lot size but collectively provide significant rental income</w:t>
      </w:r>
      <w:r>
        <w:rPr>
          <w:rFonts w:ascii="Arial" w:hAnsi="Arial" w:cs="Arial"/>
          <w:sz w:val="24"/>
          <w:szCs w:val="24"/>
        </w:rPr>
        <w:t xml:space="preserve">. </w:t>
      </w:r>
      <w:r w:rsidR="006C19FF" w:rsidRPr="00A95263">
        <w:rPr>
          <w:rFonts w:ascii="Arial" w:hAnsi="Arial" w:cs="Arial"/>
          <w:sz w:val="24"/>
          <w:szCs w:val="24"/>
        </w:rPr>
        <w:t>Whilst the portfolio is managed in an efficient manner, it has not been constructed primarily with the aim of generating property investment income</w:t>
      </w:r>
      <w:r>
        <w:rPr>
          <w:rFonts w:ascii="Arial" w:hAnsi="Arial" w:cs="Arial"/>
          <w:sz w:val="24"/>
          <w:szCs w:val="24"/>
        </w:rPr>
        <w:t xml:space="preserve">. </w:t>
      </w:r>
      <w:r w:rsidR="006C19FF" w:rsidRPr="00A95263">
        <w:rPr>
          <w:rFonts w:ascii="Arial" w:hAnsi="Arial" w:cs="Arial"/>
          <w:sz w:val="24"/>
          <w:szCs w:val="24"/>
        </w:rPr>
        <w:t xml:space="preserve"> </w:t>
      </w:r>
      <w:r>
        <w:rPr>
          <w:rFonts w:ascii="Arial" w:hAnsi="Arial" w:cs="Arial"/>
          <w:sz w:val="24"/>
          <w:szCs w:val="24"/>
        </w:rPr>
        <w:t>Man</w:t>
      </w:r>
      <w:r w:rsidR="009C03CA">
        <w:rPr>
          <w:rFonts w:ascii="Arial" w:hAnsi="Arial" w:cs="Arial"/>
          <w:sz w:val="24"/>
          <w:szCs w:val="24"/>
        </w:rPr>
        <w:t>y of the leases are short term with an average lease of less than 3 years. This approach is not unusual within local authority historic asset base but brings with it a relatively high management cost with the turnover of leases.</w:t>
      </w:r>
      <w:r w:rsidR="00B91C61">
        <w:rPr>
          <w:rFonts w:ascii="Arial" w:hAnsi="Arial" w:cs="Arial"/>
          <w:sz w:val="24"/>
          <w:szCs w:val="24"/>
        </w:rPr>
        <w:t xml:space="preserve"> </w:t>
      </w:r>
      <w:r w:rsidR="009C03CA">
        <w:rPr>
          <w:rFonts w:ascii="Arial" w:hAnsi="Arial" w:cs="Arial"/>
          <w:sz w:val="24"/>
          <w:szCs w:val="24"/>
        </w:rPr>
        <w:t>The graph below shows how the portfolio is heavily weighted towards the industrial sector in terms of assets and income. This is not surprising given the economic history of the Borough but any new investment should look to diversify the portfolio.</w:t>
      </w:r>
    </w:p>
    <w:p w:rsidR="009C03CA" w:rsidRDefault="009C03CA" w:rsidP="00A95263">
      <w:pPr>
        <w:rPr>
          <w:rFonts w:ascii="Arial" w:hAnsi="Arial" w:cs="Arial"/>
          <w:sz w:val="24"/>
          <w:szCs w:val="24"/>
        </w:rPr>
      </w:pPr>
      <w:r>
        <w:rPr>
          <w:noProof/>
          <w:lang w:eastAsia="en-GB"/>
        </w:rPr>
        <w:drawing>
          <wp:inline distT="0" distB="0" distL="0" distR="0" wp14:anchorId="302CA0B4" wp14:editId="00E221BB">
            <wp:extent cx="5205721"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4211" cy="3338592"/>
                    </a:xfrm>
                    <a:prstGeom prst="rect">
                      <a:avLst/>
                    </a:prstGeom>
                  </pic:spPr>
                </pic:pic>
              </a:graphicData>
            </a:graphic>
          </wp:inline>
        </w:drawing>
      </w:r>
    </w:p>
    <w:p w:rsidR="00B91C61" w:rsidRDefault="00B91C61" w:rsidP="00B91C61">
      <w:pPr>
        <w:pStyle w:val="ListParagraph"/>
        <w:ind w:left="567"/>
        <w:rPr>
          <w:rFonts w:ascii="Arial" w:hAnsi="Arial" w:cs="Arial"/>
          <w:b/>
          <w:sz w:val="24"/>
          <w:szCs w:val="24"/>
          <w:u w:val="single"/>
        </w:rPr>
      </w:pPr>
    </w:p>
    <w:p w:rsidR="003915DC" w:rsidRDefault="003915DC" w:rsidP="003915DC">
      <w:pPr>
        <w:spacing w:after="0" w:line="240" w:lineRule="auto"/>
        <w:rPr>
          <w:rFonts w:ascii="Arial" w:hAnsi="Arial" w:cs="Arial"/>
          <w:sz w:val="24"/>
          <w:szCs w:val="24"/>
        </w:rPr>
      </w:pPr>
      <w:r>
        <w:rPr>
          <w:rFonts w:ascii="Arial" w:hAnsi="Arial" w:cs="Arial"/>
          <w:sz w:val="24"/>
          <w:szCs w:val="24"/>
        </w:rPr>
        <w:t xml:space="preserve">In considering the Medium Term Financial Strategy of the Council, Members looked at the returns made on investments within the Treasury Management Strategy at c0.6% per annum and looked at other potential investment returns. In the light of </w:t>
      </w:r>
      <w:r>
        <w:rPr>
          <w:rFonts w:ascii="Arial" w:hAnsi="Arial" w:cs="Arial"/>
          <w:sz w:val="24"/>
          <w:szCs w:val="24"/>
        </w:rPr>
        <w:lastRenderedPageBreak/>
        <w:t>returns made by the current portfolio, Members considered investing in wider property investments to realise better investment income. £3.8m was allocated for potential investments looking to realise up to £300,000 per annum which is an ambitious target.</w:t>
      </w:r>
    </w:p>
    <w:p w:rsidR="00E02A11" w:rsidRDefault="00E02A11" w:rsidP="003915DC">
      <w:pPr>
        <w:spacing w:after="0" w:line="240" w:lineRule="auto"/>
        <w:rPr>
          <w:rFonts w:ascii="Arial" w:hAnsi="Arial" w:cs="Arial"/>
          <w:sz w:val="24"/>
          <w:szCs w:val="24"/>
        </w:rPr>
      </w:pPr>
    </w:p>
    <w:p w:rsidR="00B709D4" w:rsidRDefault="00B709D4" w:rsidP="00B91C61">
      <w:pPr>
        <w:pStyle w:val="ListParagraph"/>
        <w:numPr>
          <w:ilvl w:val="0"/>
          <w:numId w:val="2"/>
        </w:numPr>
        <w:ind w:left="567" w:hanging="567"/>
        <w:rPr>
          <w:rFonts w:ascii="Arial" w:hAnsi="Arial" w:cs="Arial"/>
          <w:b/>
          <w:sz w:val="24"/>
          <w:szCs w:val="24"/>
          <w:u w:val="single"/>
        </w:rPr>
      </w:pPr>
      <w:r w:rsidRPr="00A95263">
        <w:rPr>
          <w:rFonts w:ascii="Arial" w:hAnsi="Arial" w:cs="Arial"/>
          <w:b/>
          <w:sz w:val="24"/>
          <w:szCs w:val="24"/>
          <w:u w:val="single"/>
        </w:rPr>
        <w:t>Objective</w:t>
      </w:r>
      <w:r w:rsidR="00DF72C1" w:rsidRPr="00A95263">
        <w:rPr>
          <w:rFonts w:ascii="Arial" w:hAnsi="Arial" w:cs="Arial"/>
          <w:b/>
          <w:sz w:val="24"/>
          <w:szCs w:val="24"/>
          <w:u w:val="single"/>
        </w:rPr>
        <w:t>s</w:t>
      </w:r>
      <w:r w:rsidR="003915DC">
        <w:rPr>
          <w:rFonts w:ascii="Arial" w:hAnsi="Arial" w:cs="Arial"/>
          <w:b/>
          <w:sz w:val="24"/>
          <w:szCs w:val="24"/>
          <w:u w:val="single"/>
        </w:rPr>
        <w:t xml:space="preserve"> </w:t>
      </w:r>
    </w:p>
    <w:p w:rsidR="003915DC" w:rsidRDefault="003915DC" w:rsidP="003915DC">
      <w:pPr>
        <w:spacing w:after="0" w:line="240" w:lineRule="auto"/>
        <w:rPr>
          <w:rFonts w:ascii="Arial" w:hAnsi="Arial" w:cs="Arial"/>
          <w:sz w:val="24"/>
          <w:szCs w:val="24"/>
        </w:rPr>
      </w:pPr>
      <w:r>
        <w:rPr>
          <w:rFonts w:ascii="Arial" w:hAnsi="Arial" w:cs="Arial"/>
          <w:sz w:val="24"/>
          <w:szCs w:val="24"/>
        </w:rPr>
        <w:t>There are 3 main objectives of this strategy.</w:t>
      </w:r>
    </w:p>
    <w:p w:rsidR="003915DC" w:rsidRPr="00A95263" w:rsidRDefault="003915DC" w:rsidP="003915DC">
      <w:pPr>
        <w:spacing w:after="0" w:line="240" w:lineRule="auto"/>
        <w:rPr>
          <w:rFonts w:ascii="Arial" w:hAnsi="Arial" w:cs="Arial"/>
          <w:sz w:val="24"/>
          <w:szCs w:val="24"/>
        </w:rPr>
      </w:pPr>
    </w:p>
    <w:p w:rsidR="003915DC" w:rsidRDefault="003915DC" w:rsidP="003915DC">
      <w:pPr>
        <w:pStyle w:val="ListParagraph"/>
        <w:numPr>
          <w:ilvl w:val="0"/>
          <w:numId w:val="7"/>
        </w:numPr>
        <w:rPr>
          <w:rFonts w:ascii="Arial" w:hAnsi="Arial" w:cs="Arial"/>
          <w:b/>
          <w:sz w:val="24"/>
          <w:szCs w:val="24"/>
          <w:u w:val="single"/>
        </w:rPr>
      </w:pPr>
      <w:r w:rsidRPr="003915DC">
        <w:rPr>
          <w:rFonts w:ascii="Arial" w:hAnsi="Arial" w:cs="Arial"/>
          <w:b/>
          <w:sz w:val="24"/>
          <w:szCs w:val="24"/>
          <w:u w:val="single"/>
        </w:rPr>
        <w:t xml:space="preserve">Investments </w:t>
      </w:r>
      <w:r>
        <w:rPr>
          <w:rFonts w:ascii="Arial" w:hAnsi="Arial" w:cs="Arial"/>
          <w:b/>
          <w:sz w:val="24"/>
          <w:szCs w:val="24"/>
          <w:u w:val="single"/>
        </w:rPr>
        <w:t>within the Central Lancashire Area</w:t>
      </w:r>
    </w:p>
    <w:p w:rsidR="003915DC" w:rsidRPr="003915DC" w:rsidRDefault="003915DC" w:rsidP="003915DC">
      <w:pPr>
        <w:ind w:left="360"/>
        <w:rPr>
          <w:rFonts w:ascii="Arial" w:hAnsi="Arial" w:cs="Arial"/>
          <w:sz w:val="24"/>
          <w:szCs w:val="24"/>
        </w:rPr>
      </w:pPr>
      <w:r w:rsidRPr="003915DC">
        <w:rPr>
          <w:rFonts w:ascii="Arial" w:hAnsi="Arial" w:cs="Arial"/>
          <w:sz w:val="24"/>
          <w:szCs w:val="24"/>
        </w:rPr>
        <w:t>The first phase will focus on the acquisition of property investments within the Borough and Central Lancashire Local plan area.  This is to support the Council’s ambition for growth in the area and help create renewed confidence and a positive message to other investors</w:t>
      </w:r>
    </w:p>
    <w:p w:rsidR="003915DC" w:rsidRDefault="003915DC" w:rsidP="003915DC">
      <w:pPr>
        <w:pStyle w:val="ListParagraph"/>
        <w:numPr>
          <w:ilvl w:val="0"/>
          <w:numId w:val="7"/>
        </w:numPr>
        <w:rPr>
          <w:rFonts w:ascii="Arial" w:hAnsi="Arial" w:cs="Arial"/>
          <w:b/>
          <w:sz w:val="24"/>
          <w:szCs w:val="24"/>
          <w:u w:val="single"/>
        </w:rPr>
      </w:pPr>
      <w:r>
        <w:rPr>
          <w:rFonts w:ascii="Arial" w:hAnsi="Arial" w:cs="Arial"/>
          <w:b/>
          <w:sz w:val="24"/>
          <w:szCs w:val="24"/>
          <w:u w:val="single"/>
        </w:rPr>
        <w:t>Financial Return</w:t>
      </w:r>
    </w:p>
    <w:p w:rsidR="003915DC" w:rsidRDefault="003915DC" w:rsidP="003915DC">
      <w:pPr>
        <w:ind w:left="426"/>
        <w:rPr>
          <w:rFonts w:ascii="Arial" w:hAnsi="Arial" w:cs="Arial"/>
          <w:sz w:val="24"/>
          <w:szCs w:val="24"/>
        </w:rPr>
      </w:pPr>
      <w:r w:rsidRPr="00A95263">
        <w:rPr>
          <w:rFonts w:ascii="Arial" w:hAnsi="Arial" w:cs="Arial"/>
          <w:sz w:val="24"/>
          <w:szCs w:val="24"/>
        </w:rPr>
        <w:t xml:space="preserve">This strategy seeks to increase the proportion of the total income from </w:t>
      </w:r>
      <w:r w:rsidR="007119B7">
        <w:rPr>
          <w:rFonts w:ascii="Arial" w:hAnsi="Arial" w:cs="Arial"/>
          <w:sz w:val="24"/>
          <w:szCs w:val="24"/>
        </w:rPr>
        <w:t>investing in</w:t>
      </w:r>
      <w:r w:rsidRPr="00A95263">
        <w:rPr>
          <w:rFonts w:ascii="Arial" w:hAnsi="Arial" w:cs="Arial"/>
          <w:sz w:val="24"/>
          <w:szCs w:val="24"/>
        </w:rPr>
        <w:t xml:space="preserve"> good quality commercial assets as a way of generating new revenue streams to the Council.  These assets will be held primarily for investment value, and as a secondary measure, capital appreciation.</w:t>
      </w:r>
      <w:r>
        <w:rPr>
          <w:rFonts w:ascii="Arial" w:hAnsi="Arial" w:cs="Arial"/>
          <w:sz w:val="24"/>
          <w:szCs w:val="24"/>
        </w:rPr>
        <w:t xml:space="preserve"> T</w:t>
      </w:r>
      <w:r w:rsidRPr="00A95263">
        <w:rPr>
          <w:rFonts w:ascii="Arial" w:hAnsi="Arial" w:cs="Arial"/>
          <w:sz w:val="24"/>
          <w:szCs w:val="24"/>
        </w:rPr>
        <w:t xml:space="preserve">he main consideration for doing this is to enable the Council to be more financially resilient </w:t>
      </w:r>
      <w:r>
        <w:rPr>
          <w:rFonts w:ascii="Arial" w:hAnsi="Arial" w:cs="Arial"/>
          <w:sz w:val="24"/>
          <w:szCs w:val="24"/>
        </w:rPr>
        <w:t>and</w:t>
      </w:r>
      <w:r w:rsidRPr="00A95263">
        <w:rPr>
          <w:rFonts w:ascii="Arial" w:hAnsi="Arial" w:cs="Arial"/>
          <w:sz w:val="24"/>
          <w:szCs w:val="24"/>
        </w:rPr>
        <w:t xml:space="preserve"> gener</w:t>
      </w:r>
      <w:r>
        <w:rPr>
          <w:rFonts w:ascii="Arial" w:hAnsi="Arial" w:cs="Arial"/>
          <w:sz w:val="24"/>
          <w:szCs w:val="24"/>
        </w:rPr>
        <w:t xml:space="preserve">ate income </w:t>
      </w:r>
      <w:r w:rsidRPr="00A95263">
        <w:rPr>
          <w:rFonts w:ascii="Arial" w:hAnsi="Arial" w:cs="Arial"/>
          <w:sz w:val="24"/>
          <w:szCs w:val="24"/>
        </w:rPr>
        <w:t>which will support services and contribute to the General Fund.</w:t>
      </w:r>
      <w:r>
        <w:rPr>
          <w:rFonts w:ascii="Arial" w:hAnsi="Arial" w:cs="Arial"/>
          <w:sz w:val="24"/>
          <w:szCs w:val="24"/>
        </w:rPr>
        <w:t xml:space="preserve">  </w:t>
      </w:r>
    </w:p>
    <w:p w:rsidR="003915DC" w:rsidRDefault="003915DC" w:rsidP="00512E69">
      <w:pPr>
        <w:pStyle w:val="ListParagraph"/>
        <w:ind w:left="426"/>
        <w:rPr>
          <w:rFonts w:ascii="Arial" w:hAnsi="Arial" w:cs="Arial"/>
          <w:sz w:val="24"/>
          <w:szCs w:val="24"/>
        </w:rPr>
      </w:pPr>
      <w:r w:rsidRPr="00A95263">
        <w:rPr>
          <w:rFonts w:ascii="Arial" w:hAnsi="Arial" w:cs="Arial"/>
          <w:sz w:val="24"/>
          <w:szCs w:val="24"/>
        </w:rPr>
        <w:t>This can be delivered by specifically targeting investment in purchasing good commercial properties which provide sustainable rental income, through a balanced strategy of acquisition, retention and management of good quality property investments, and also to benefit from long term growth in capital values</w:t>
      </w:r>
    </w:p>
    <w:p w:rsidR="00512E69" w:rsidRPr="003915DC" w:rsidRDefault="00512E69" w:rsidP="00512E69">
      <w:pPr>
        <w:pStyle w:val="ListParagraph"/>
        <w:ind w:left="426"/>
        <w:rPr>
          <w:rFonts w:ascii="Arial" w:hAnsi="Arial" w:cs="Arial"/>
          <w:sz w:val="24"/>
          <w:szCs w:val="24"/>
        </w:rPr>
      </w:pPr>
    </w:p>
    <w:p w:rsidR="00D769A9" w:rsidRDefault="00D769A9" w:rsidP="003915DC">
      <w:pPr>
        <w:pStyle w:val="ListParagraph"/>
        <w:numPr>
          <w:ilvl w:val="0"/>
          <w:numId w:val="7"/>
        </w:numPr>
        <w:rPr>
          <w:rFonts w:ascii="Arial" w:hAnsi="Arial" w:cs="Arial"/>
          <w:b/>
          <w:sz w:val="24"/>
          <w:szCs w:val="24"/>
          <w:u w:val="single"/>
        </w:rPr>
      </w:pPr>
      <w:r>
        <w:rPr>
          <w:rFonts w:ascii="Arial" w:hAnsi="Arial" w:cs="Arial"/>
          <w:b/>
          <w:sz w:val="24"/>
          <w:szCs w:val="24"/>
          <w:u w:val="single"/>
        </w:rPr>
        <w:t>Strategic Asset Review</w:t>
      </w:r>
    </w:p>
    <w:p w:rsidR="00D769A9" w:rsidRDefault="00D769A9" w:rsidP="00D769A9">
      <w:pPr>
        <w:pStyle w:val="ListParagraph"/>
        <w:rPr>
          <w:rFonts w:ascii="Arial" w:hAnsi="Arial" w:cs="Arial"/>
          <w:sz w:val="24"/>
          <w:szCs w:val="24"/>
          <w:u w:val="single"/>
        </w:rPr>
      </w:pPr>
    </w:p>
    <w:p w:rsidR="00304750" w:rsidRDefault="00D769A9" w:rsidP="00D769A9">
      <w:pPr>
        <w:pStyle w:val="ListParagraph"/>
        <w:ind w:left="426"/>
        <w:rPr>
          <w:rFonts w:ascii="Arial" w:hAnsi="Arial" w:cs="Arial"/>
          <w:sz w:val="24"/>
          <w:szCs w:val="24"/>
        </w:rPr>
      </w:pPr>
      <w:r w:rsidRPr="00D769A9">
        <w:rPr>
          <w:rFonts w:ascii="Arial" w:hAnsi="Arial" w:cs="Arial"/>
          <w:sz w:val="24"/>
          <w:szCs w:val="24"/>
        </w:rPr>
        <w:t>All assets within the Commerc</w:t>
      </w:r>
      <w:r w:rsidR="00304750">
        <w:rPr>
          <w:rFonts w:ascii="Arial" w:hAnsi="Arial" w:cs="Arial"/>
          <w:sz w:val="24"/>
          <w:szCs w:val="24"/>
        </w:rPr>
        <w:t xml:space="preserve">ial Portfolio will undergo a strategic review as part of an overarching Strategic Asset Review. All assets will be examined against how well they meet the objectives for holding those assets and the potential for development, capital receipt or potential income. Specifically with the Commercial Portfolio, the assets will be reviewed to look at how they could be developed to generate a stronger income stream, rationalised or sold. </w:t>
      </w:r>
      <w:r w:rsidR="007119B7">
        <w:rPr>
          <w:rFonts w:ascii="Arial" w:hAnsi="Arial" w:cs="Arial"/>
          <w:sz w:val="24"/>
          <w:szCs w:val="24"/>
        </w:rPr>
        <w:t>This work will identify both opportunities for investment and potential resources for further investment.</w:t>
      </w:r>
    </w:p>
    <w:p w:rsidR="00304750" w:rsidRPr="00D769A9" w:rsidRDefault="00304750" w:rsidP="00D769A9">
      <w:pPr>
        <w:pStyle w:val="ListParagraph"/>
        <w:ind w:left="426"/>
        <w:rPr>
          <w:rFonts w:ascii="Arial" w:hAnsi="Arial" w:cs="Arial"/>
          <w:sz w:val="24"/>
          <w:szCs w:val="24"/>
        </w:rPr>
      </w:pPr>
    </w:p>
    <w:p w:rsidR="003915DC" w:rsidRPr="003915DC" w:rsidRDefault="00D769A9" w:rsidP="003915DC">
      <w:pPr>
        <w:pStyle w:val="ListParagraph"/>
        <w:numPr>
          <w:ilvl w:val="0"/>
          <w:numId w:val="7"/>
        </w:numPr>
        <w:rPr>
          <w:rFonts w:ascii="Arial" w:hAnsi="Arial" w:cs="Arial"/>
          <w:b/>
          <w:sz w:val="24"/>
          <w:szCs w:val="24"/>
          <w:u w:val="single"/>
        </w:rPr>
      </w:pPr>
      <w:r>
        <w:rPr>
          <w:rFonts w:ascii="Arial" w:hAnsi="Arial" w:cs="Arial"/>
          <w:b/>
          <w:sz w:val="24"/>
          <w:szCs w:val="24"/>
          <w:u w:val="single"/>
        </w:rPr>
        <w:t>Performance Management</w:t>
      </w:r>
    </w:p>
    <w:p w:rsidR="003915DC" w:rsidRDefault="00D769A9" w:rsidP="007119B7">
      <w:pPr>
        <w:ind w:left="426"/>
        <w:rPr>
          <w:rFonts w:ascii="Arial" w:hAnsi="Arial" w:cs="Arial"/>
          <w:b/>
          <w:sz w:val="24"/>
          <w:szCs w:val="24"/>
          <w:u w:val="single"/>
        </w:rPr>
      </w:pPr>
      <w:r w:rsidRPr="00A95263">
        <w:rPr>
          <w:rFonts w:ascii="Arial" w:hAnsi="Arial" w:cs="Arial"/>
          <w:sz w:val="24"/>
          <w:szCs w:val="24"/>
        </w:rPr>
        <w:t>It is proposed to introduce a suite of key performance management measures across the whole of the portfolio, including the existing historic stock so that we can understand the existing performance and return</w:t>
      </w:r>
      <w:r>
        <w:rPr>
          <w:rFonts w:ascii="Arial" w:hAnsi="Arial" w:cs="Arial"/>
          <w:sz w:val="24"/>
          <w:szCs w:val="24"/>
        </w:rPr>
        <w:t>.</w:t>
      </w:r>
      <w:r w:rsidR="007119B7">
        <w:rPr>
          <w:rFonts w:ascii="Arial" w:hAnsi="Arial" w:cs="Arial"/>
          <w:sz w:val="24"/>
          <w:szCs w:val="24"/>
        </w:rPr>
        <w:t xml:space="preserve"> This data will be set in context by our advisers. </w:t>
      </w:r>
    </w:p>
    <w:p w:rsidR="00B709D4" w:rsidRDefault="00B709D4" w:rsidP="00304750">
      <w:pPr>
        <w:pStyle w:val="ListParagraph"/>
        <w:numPr>
          <w:ilvl w:val="0"/>
          <w:numId w:val="2"/>
        </w:numPr>
        <w:ind w:left="567" w:hanging="567"/>
        <w:rPr>
          <w:rFonts w:ascii="Arial" w:hAnsi="Arial" w:cs="Arial"/>
          <w:b/>
          <w:sz w:val="24"/>
          <w:szCs w:val="24"/>
          <w:u w:val="single"/>
        </w:rPr>
      </w:pPr>
      <w:r w:rsidRPr="00304750">
        <w:rPr>
          <w:rFonts w:ascii="Arial" w:hAnsi="Arial" w:cs="Arial"/>
          <w:b/>
          <w:sz w:val="24"/>
          <w:szCs w:val="24"/>
          <w:u w:val="single"/>
        </w:rPr>
        <w:lastRenderedPageBreak/>
        <w:t>Scope</w:t>
      </w:r>
    </w:p>
    <w:p w:rsidR="00511632" w:rsidRDefault="00511632" w:rsidP="00511632">
      <w:pPr>
        <w:pStyle w:val="ListParagraph"/>
        <w:ind w:left="567"/>
        <w:rPr>
          <w:rFonts w:ascii="Arial" w:hAnsi="Arial" w:cs="Arial"/>
          <w:b/>
          <w:sz w:val="24"/>
          <w:szCs w:val="24"/>
          <w:u w:val="single"/>
        </w:rPr>
      </w:pPr>
    </w:p>
    <w:p w:rsidR="00511632" w:rsidRDefault="00511632" w:rsidP="00511632">
      <w:pPr>
        <w:pStyle w:val="ListParagraph"/>
        <w:numPr>
          <w:ilvl w:val="1"/>
          <w:numId w:val="2"/>
        </w:numPr>
        <w:ind w:left="709"/>
        <w:rPr>
          <w:rFonts w:ascii="Arial" w:hAnsi="Arial" w:cs="Arial"/>
          <w:b/>
          <w:sz w:val="24"/>
          <w:szCs w:val="24"/>
          <w:u w:val="single"/>
        </w:rPr>
      </w:pPr>
      <w:r w:rsidRPr="00304750">
        <w:rPr>
          <w:rFonts w:ascii="Arial" w:hAnsi="Arial" w:cs="Arial"/>
          <w:b/>
          <w:sz w:val="24"/>
          <w:szCs w:val="24"/>
          <w:u w:val="single"/>
        </w:rPr>
        <w:t>Investment Value</w:t>
      </w:r>
    </w:p>
    <w:p w:rsidR="00511632" w:rsidRPr="00A95263" w:rsidRDefault="00511632" w:rsidP="00511632">
      <w:pPr>
        <w:ind w:left="426"/>
        <w:rPr>
          <w:rFonts w:ascii="Arial" w:hAnsi="Arial" w:cs="Arial"/>
          <w:sz w:val="24"/>
          <w:szCs w:val="24"/>
        </w:rPr>
      </w:pPr>
      <w:r w:rsidRPr="00A95263">
        <w:rPr>
          <w:rFonts w:ascii="Arial" w:hAnsi="Arial" w:cs="Arial"/>
          <w:sz w:val="24"/>
          <w:szCs w:val="24"/>
        </w:rPr>
        <w:t>Initially £</w:t>
      </w:r>
      <w:r>
        <w:rPr>
          <w:rFonts w:ascii="Arial" w:hAnsi="Arial" w:cs="Arial"/>
          <w:sz w:val="24"/>
          <w:szCs w:val="24"/>
        </w:rPr>
        <w:t>3.8</w:t>
      </w:r>
      <w:r w:rsidRPr="00A95263">
        <w:rPr>
          <w:rFonts w:ascii="Arial" w:hAnsi="Arial" w:cs="Arial"/>
          <w:sz w:val="24"/>
          <w:szCs w:val="24"/>
        </w:rPr>
        <w:t xml:space="preserve">m has been identified as available for investment.  Any expansion of the investment will be assessed </w:t>
      </w:r>
      <w:r w:rsidR="006C71FC">
        <w:rPr>
          <w:rFonts w:ascii="Arial" w:hAnsi="Arial" w:cs="Arial"/>
          <w:sz w:val="24"/>
          <w:szCs w:val="24"/>
        </w:rPr>
        <w:t>against the business cases for each investment.</w:t>
      </w:r>
      <w:r w:rsidR="007119B7">
        <w:rPr>
          <w:rFonts w:ascii="Arial" w:hAnsi="Arial" w:cs="Arial"/>
          <w:sz w:val="24"/>
          <w:szCs w:val="24"/>
        </w:rPr>
        <w:t xml:space="preserve"> </w:t>
      </w:r>
      <w:r w:rsidR="006C71FC">
        <w:rPr>
          <w:rFonts w:ascii="Arial" w:hAnsi="Arial" w:cs="Arial"/>
          <w:sz w:val="24"/>
          <w:szCs w:val="24"/>
        </w:rPr>
        <w:t xml:space="preserve">If a positive case is put forward and an opportunity generates the Council’s objectives, further funding could be allocated. </w:t>
      </w:r>
      <w:r w:rsidR="007119B7">
        <w:rPr>
          <w:rFonts w:ascii="Arial" w:hAnsi="Arial" w:cs="Arial"/>
          <w:sz w:val="24"/>
          <w:szCs w:val="24"/>
        </w:rPr>
        <w:t>The Council also has a target to generate an additional £300,000 per annum fro</w:t>
      </w:r>
      <w:r w:rsidR="006C71FC">
        <w:rPr>
          <w:rFonts w:ascii="Arial" w:hAnsi="Arial" w:cs="Arial"/>
          <w:sz w:val="24"/>
          <w:szCs w:val="24"/>
        </w:rPr>
        <w:t>m additional property income</w:t>
      </w:r>
      <w:r w:rsidR="007119B7">
        <w:rPr>
          <w:rFonts w:ascii="Arial" w:hAnsi="Arial" w:cs="Arial"/>
          <w:sz w:val="24"/>
          <w:szCs w:val="24"/>
        </w:rPr>
        <w:t>.</w:t>
      </w:r>
      <w:r w:rsidR="006C71FC">
        <w:rPr>
          <w:rFonts w:ascii="Arial" w:hAnsi="Arial" w:cs="Arial"/>
          <w:sz w:val="24"/>
          <w:szCs w:val="24"/>
        </w:rPr>
        <w:t xml:space="preserve"> </w:t>
      </w:r>
    </w:p>
    <w:p w:rsidR="00511632" w:rsidRPr="00304750" w:rsidRDefault="00511632" w:rsidP="00511632">
      <w:pPr>
        <w:pStyle w:val="ListParagraph"/>
        <w:numPr>
          <w:ilvl w:val="1"/>
          <w:numId w:val="2"/>
        </w:numPr>
        <w:ind w:left="709"/>
        <w:rPr>
          <w:rFonts w:ascii="Arial" w:hAnsi="Arial" w:cs="Arial"/>
          <w:b/>
          <w:sz w:val="24"/>
          <w:szCs w:val="24"/>
          <w:u w:val="single"/>
        </w:rPr>
      </w:pPr>
      <w:r w:rsidRPr="00304750">
        <w:rPr>
          <w:rFonts w:ascii="Arial" w:hAnsi="Arial" w:cs="Arial"/>
          <w:b/>
          <w:sz w:val="24"/>
          <w:szCs w:val="24"/>
          <w:u w:val="single"/>
        </w:rPr>
        <w:t>Geographical location</w:t>
      </w:r>
    </w:p>
    <w:p w:rsidR="00511632" w:rsidRPr="00A95263" w:rsidRDefault="00511632" w:rsidP="00511632">
      <w:pPr>
        <w:ind w:left="426"/>
        <w:rPr>
          <w:rFonts w:ascii="Arial" w:hAnsi="Arial" w:cs="Arial"/>
          <w:sz w:val="24"/>
          <w:szCs w:val="24"/>
        </w:rPr>
      </w:pPr>
      <w:r w:rsidRPr="00A95263">
        <w:rPr>
          <w:rFonts w:ascii="Arial" w:hAnsi="Arial" w:cs="Arial"/>
          <w:sz w:val="24"/>
          <w:szCs w:val="24"/>
        </w:rPr>
        <w:t xml:space="preserve">The first phase of the Strategy will be delivered by acquisition of commercial investments within the </w:t>
      </w:r>
      <w:r>
        <w:rPr>
          <w:rFonts w:ascii="Arial" w:hAnsi="Arial" w:cs="Arial"/>
          <w:sz w:val="24"/>
          <w:szCs w:val="24"/>
        </w:rPr>
        <w:t>Borough and Central Lancashire Local Plan area. It has been suggested that the area needs to be expanded to the wider northwest or even nationally to ensure that South Ribble is exposed to “the best” assets and returns. However, there are already many local authorities in the northwest undertaking large portfolio investments and the Council may be exposed to weaker investments in the wider area.  Initially this economic area should produce the right mix. If not, then the Council can review its position.</w:t>
      </w:r>
    </w:p>
    <w:p w:rsidR="00511632" w:rsidRDefault="00511632" w:rsidP="00511632">
      <w:pPr>
        <w:pStyle w:val="ListParagraph"/>
        <w:ind w:left="567"/>
        <w:rPr>
          <w:rFonts w:ascii="Arial" w:hAnsi="Arial" w:cs="Arial"/>
          <w:b/>
          <w:sz w:val="24"/>
          <w:szCs w:val="24"/>
          <w:u w:val="single"/>
        </w:rPr>
      </w:pPr>
    </w:p>
    <w:p w:rsidR="00B709D4" w:rsidRDefault="00B709D4" w:rsidP="00511632">
      <w:pPr>
        <w:pStyle w:val="ListParagraph"/>
        <w:numPr>
          <w:ilvl w:val="0"/>
          <w:numId w:val="2"/>
        </w:numPr>
        <w:ind w:left="567" w:hanging="567"/>
        <w:rPr>
          <w:rFonts w:ascii="Arial" w:hAnsi="Arial" w:cs="Arial"/>
          <w:b/>
          <w:sz w:val="24"/>
          <w:szCs w:val="24"/>
          <w:u w:val="single"/>
        </w:rPr>
      </w:pPr>
      <w:r w:rsidRPr="00511632">
        <w:rPr>
          <w:rFonts w:ascii="Arial" w:hAnsi="Arial" w:cs="Arial"/>
          <w:b/>
          <w:sz w:val="24"/>
          <w:szCs w:val="24"/>
          <w:u w:val="single"/>
        </w:rPr>
        <w:t>Strategy</w:t>
      </w:r>
      <w:r w:rsidR="006C19FF" w:rsidRPr="00511632">
        <w:rPr>
          <w:rFonts w:ascii="Arial" w:hAnsi="Arial" w:cs="Arial"/>
          <w:b/>
          <w:sz w:val="24"/>
          <w:szCs w:val="24"/>
          <w:u w:val="single"/>
        </w:rPr>
        <w:t xml:space="preserve"> for existing commercial portfolio</w:t>
      </w:r>
    </w:p>
    <w:p w:rsidR="00511632" w:rsidRPr="00A95263" w:rsidRDefault="00511632" w:rsidP="00511632">
      <w:pPr>
        <w:rPr>
          <w:rFonts w:ascii="Arial" w:hAnsi="Arial" w:cs="Arial"/>
          <w:sz w:val="24"/>
          <w:szCs w:val="24"/>
        </w:rPr>
      </w:pPr>
      <w:r w:rsidRPr="00A95263">
        <w:rPr>
          <w:rFonts w:ascii="Arial" w:hAnsi="Arial" w:cs="Arial"/>
          <w:sz w:val="24"/>
          <w:szCs w:val="24"/>
        </w:rPr>
        <w:t xml:space="preserve">Whilst the main objective of the Strategy is focussed towards acquiring new commercial income producing properties, it is recognised that the historic commercial property portfolio also needs some restructuring and rebalancing to achieve a satisfactory spread of properties across a mix of retail (predominantly), offices, industrial/warehouse uses providing a reasonable return to the Council.  There has been no consistent formal measurement of the return historically, as this has provided a steady year on year rental income without too much risk.  </w:t>
      </w:r>
    </w:p>
    <w:p w:rsidR="00511632" w:rsidRPr="00A95263" w:rsidRDefault="00511632" w:rsidP="00511632">
      <w:pPr>
        <w:rPr>
          <w:rFonts w:ascii="Arial" w:hAnsi="Arial" w:cs="Arial"/>
          <w:sz w:val="24"/>
          <w:szCs w:val="24"/>
        </w:rPr>
      </w:pPr>
      <w:r w:rsidRPr="00A95263">
        <w:rPr>
          <w:rFonts w:ascii="Arial" w:hAnsi="Arial" w:cs="Arial"/>
          <w:sz w:val="24"/>
          <w:szCs w:val="24"/>
        </w:rPr>
        <w:t>Although the risk within the portfolio is spread, the portfolio lacks good quality tenant covenants and the lot sizes are quite small.  The strategy would involve enhancing the current portfolio income levels by disposing of lower yielding assets (unless there were other benefits from retention i.e. future redevelopment opportunities) and reinvesting in assets which would generate a higher return.</w:t>
      </w:r>
    </w:p>
    <w:p w:rsidR="00511632" w:rsidRPr="00511632" w:rsidRDefault="00511632" w:rsidP="00511632">
      <w:pPr>
        <w:rPr>
          <w:rFonts w:ascii="Arial" w:hAnsi="Arial" w:cs="Arial"/>
          <w:sz w:val="24"/>
          <w:szCs w:val="24"/>
        </w:rPr>
      </w:pPr>
      <w:r w:rsidRPr="00A95263">
        <w:rPr>
          <w:rFonts w:ascii="Arial" w:hAnsi="Arial" w:cs="Arial"/>
          <w:sz w:val="24"/>
          <w:szCs w:val="24"/>
        </w:rPr>
        <w:t>It is proposed that as a precursor to this step, and on-going, the Council should undertake more formal but simple performance monitoring measures of the current stock and income levels, to understand the existing performance and return.  This would place a greater emphasis on the justification for holding these assets and give the Council an ability to measure their outputs.  This may lead to a policy of being able to dispose of poor performing assets.   It is proposed that capital receipts from any sale within the existing portfolio should ideally be ring-fenced to support the Property Investment Strategy on-going so there are funds to replace assets.</w:t>
      </w:r>
    </w:p>
    <w:p w:rsidR="00511632" w:rsidRDefault="00511632" w:rsidP="00511632">
      <w:pPr>
        <w:pStyle w:val="ListParagraph"/>
        <w:ind w:left="567"/>
        <w:rPr>
          <w:rFonts w:ascii="Arial" w:hAnsi="Arial" w:cs="Arial"/>
          <w:b/>
          <w:sz w:val="24"/>
          <w:szCs w:val="24"/>
          <w:u w:val="single"/>
        </w:rPr>
      </w:pPr>
    </w:p>
    <w:p w:rsidR="00511632" w:rsidRDefault="00511632" w:rsidP="00511632">
      <w:pPr>
        <w:pStyle w:val="ListParagraph"/>
        <w:numPr>
          <w:ilvl w:val="0"/>
          <w:numId w:val="2"/>
        </w:numPr>
        <w:ind w:left="567" w:hanging="567"/>
        <w:rPr>
          <w:rFonts w:ascii="Arial" w:hAnsi="Arial" w:cs="Arial"/>
          <w:b/>
          <w:sz w:val="24"/>
          <w:szCs w:val="24"/>
          <w:u w:val="single"/>
        </w:rPr>
      </w:pPr>
      <w:r>
        <w:rPr>
          <w:rFonts w:ascii="Arial" w:hAnsi="Arial" w:cs="Arial"/>
          <w:b/>
          <w:sz w:val="24"/>
          <w:szCs w:val="24"/>
          <w:u w:val="single"/>
        </w:rPr>
        <w:t>New Portfolio Structure</w:t>
      </w:r>
    </w:p>
    <w:p w:rsidR="00222855" w:rsidRPr="00A95263" w:rsidRDefault="00222855" w:rsidP="00222855">
      <w:pPr>
        <w:rPr>
          <w:rFonts w:ascii="Arial" w:hAnsi="Arial" w:cs="Arial"/>
          <w:b/>
          <w:sz w:val="24"/>
          <w:szCs w:val="24"/>
          <w:u w:val="single"/>
        </w:rPr>
      </w:pPr>
      <w:r w:rsidRPr="00A95263">
        <w:rPr>
          <w:rFonts w:ascii="Arial" w:hAnsi="Arial" w:cs="Arial"/>
          <w:sz w:val="24"/>
          <w:szCs w:val="24"/>
        </w:rPr>
        <w:t>In terms of the new commercial income producing assets, it is important to achieve a spread of risk by acquiring properties across a range of different property asset classes, namely retail, industrial, office and leisure</w:t>
      </w:r>
      <w:r w:rsidR="007119B7">
        <w:rPr>
          <w:rFonts w:ascii="Arial" w:hAnsi="Arial" w:cs="Arial"/>
          <w:sz w:val="24"/>
          <w:szCs w:val="24"/>
        </w:rPr>
        <w:t>. T</w:t>
      </w:r>
      <w:r w:rsidRPr="00A95263">
        <w:rPr>
          <w:rFonts w:ascii="Arial" w:hAnsi="Arial" w:cs="Arial"/>
          <w:sz w:val="24"/>
          <w:szCs w:val="24"/>
        </w:rPr>
        <w:t>his is a fundamental objective of this new strategy.</w:t>
      </w:r>
    </w:p>
    <w:p w:rsidR="00222855" w:rsidRDefault="00222855" w:rsidP="00222855">
      <w:pPr>
        <w:rPr>
          <w:rFonts w:ascii="Arial" w:hAnsi="Arial" w:cs="Arial"/>
          <w:sz w:val="24"/>
          <w:szCs w:val="24"/>
        </w:rPr>
      </w:pPr>
      <w:r w:rsidRPr="00A95263">
        <w:rPr>
          <w:rFonts w:ascii="Arial" w:hAnsi="Arial" w:cs="Arial"/>
          <w:sz w:val="24"/>
          <w:szCs w:val="24"/>
        </w:rPr>
        <w:t>It is proposed to try and obtain diversification and balance on investments by sector, so that there is no reliance on on</w:t>
      </w:r>
      <w:r w:rsidR="00CF2E3D">
        <w:rPr>
          <w:rFonts w:ascii="Arial" w:hAnsi="Arial" w:cs="Arial"/>
          <w:sz w:val="24"/>
          <w:szCs w:val="24"/>
        </w:rPr>
        <w:t xml:space="preserve">ly one sector or type of tenant. This will </w:t>
      </w:r>
      <w:r w:rsidRPr="00A95263">
        <w:rPr>
          <w:rFonts w:ascii="Arial" w:hAnsi="Arial" w:cs="Arial"/>
          <w:sz w:val="24"/>
          <w:szCs w:val="24"/>
        </w:rPr>
        <w:t>minimise risk</w:t>
      </w:r>
      <w:r w:rsidR="00CF2E3D">
        <w:rPr>
          <w:rFonts w:ascii="Arial" w:hAnsi="Arial" w:cs="Arial"/>
          <w:sz w:val="24"/>
          <w:szCs w:val="24"/>
        </w:rPr>
        <w:t xml:space="preserve"> from downturns in specific sectors.</w:t>
      </w:r>
      <w:r w:rsidRPr="00A95263">
        <w:rPr>
          <w:rFonts w:ascii="Arial" w:hAnsi="Arial" w:cs="Arial"/>
          <w:sz w:val="24"/>
          <w:szCs w:val="24"/>
        </w:rPr>
        <w:t xml:space="preserve">  Market sectors and locations with rental growth and good letting prospects will be targeted.  In order to ensure a ba</w:t>
      </w:r>
      <w:r w:rsidR="00CF2E3D">
        <w:rPr>
          <w:rFonts w:ascii="Arial" w:hAnsi="Arial" w:cs="Arial"/>
          <w:sz w:val="24"/>
          <w:szCs w:val="24"/>
        </w:rPr>
        <w:t>lanced portfolio investment should be targeted away from industrial units</w:t>
      </w:r>
      <w:r w:rsidRPr="00A95263">
        <w:rPr>
          <w:rFonts w:ascii="Arial" w:hAnsi="Arial" w:cs="Arial"/>
          <w:sz w:val="24"/>
          <w:szCs w:val="24"/>
        </w:rPr>
        <w:t>.  The strategy needs to build in flexibility in the mix to reflect the opportunities available and being able to move sectors if this is considered prudent.</w:t>
      </w:r>
      <w:r>
        <w:rPr>
          <w:rFonts w:ascii="Arial" w:hAnsi="Arial" w:cs="Arial"/>
          <w:sz w:val="24"/>
          <w:szCs w:val="24"/>
        </w:rPr>
        <w:t xml:space="preserve"> </w:t>
      </w:r>
    </w:p>
    <w:p w:rsidR="00222855" w:rsidRDefault="00222855" w:rsidP="00222855">
      <w:pPr>
        <w:rPr>
          <w:rFonts w:ascii="Arial" w:hAnsi="Arial" w:cs="Arial"/>
          <w:sz w:val="24"/>
          <w:szCs w:val="24"/>
        </w:rPr>
      </w:pPr>
      <w:r>
        <w:rPr>
          <w:rFonts w:ascii="Arial" w:hAnsi="Arial" w:cs="Arial"/>
          <w:sz w:val="24"/>
          <w:szCs w:val="24"/>
        </w:rPr>
        <w:t>In an ideal balanced portfolio no asset class should comprise more than 50% of the portfolio income and each class should contribute at least 15% of the income. As the current portfolio is already 80% exposed to the industrial sector, investment should be stronger elsewhere. It is suggested that the focus is more on Leisure, Office and Retail rather than industrial. This would balance the portfolio and spread the risk.</w:t>
      </w:r>
    </w:p>
    <w:p w:rsidR="00222855" w:rsidRPr="00A95263" w:rsidRDefault="00222855" w:rsidP="00222855">
      <w:pPr>
        <w:rPr>
          <w:rFonts w:ascii="Arial" w:hAnsi="Arial" w:cs="Arial"/>
          <w:sz w:val="24"/>
          <w:szCs w:val="24"/>
        </w:rPr>
      </w:pPr>
      <w:r>
        <w:rPr>
          <w:rFonts w:ascii="Arial" w:hAnsi="Arial" w:cs="Arial"/>
          <w:sz w:val="24"/>
          <w:szCs w:val="24"/>
        </w:rPr>
        <w:t>HOWEVER, flexibility needs to be maintained and if a long term opportunity with a strong covenant came forward in the industrial sector, it needs to be analysed in that context.</w:t>
      </w:r>
    </w:p>
    <w:p w:rsidR="00222855" w:rsidRPr="00A95263" w:rsidRDefault="00222855" w:rsidP="00222855">
      <w:pPr>
        <w:pStyle w:val="ListParagraph"/>
        <w:numPr>
          <w:ilvl w:val="0"/>
          <w:numId w:val="9"/>
        </w:numPr>
        <w:ind w:left="709" w:hanging="349"/>
        <w:rPr>
          <w:rFonts w:ascii="Arial" w:hAnsi="Arial" w:cs="Arial"/>
          <w:b/>
          <w:sz w:val="24"/>
          <w:szCs w:val="24"/>
          <w:u w:val="single"/>
        </w:rPr>
      </w:pPr>
      <w:r w:rsidRPr="00A95263">
        <w:rPr>
          <w:rFonts w:ascii="Arial" w:hAnsi="Arial" w:cs="Arial"/>
          <w:b/>
          <w:sz w:val="24"/>
          <w:szCs w:val="24"/>
          <w:u w:val="single"/>
        </w:rPr>
        <w:t>Single use/Multi let investments</w:t>
      </w:r>
    </w:p>
    <w:p w:rsidR="00222855" w:rsidRPr="00A95263" w:rsidRDefault="00222855" w:rsidP="00222855">
      <w:pPr>
        <w:ind w:left="426"/>
        <w:rPr>
          <w:rFonts w:ascii="Arial" w:hAnsi="Arial" w:cs="Arial"/>
          <w:sz w:val="24"/>
          <w:szCs w:val="24"/>
        </w:rPr>
      </w:pPr>
      <w:r w:rsidRPr="00A95263">
        <w:rPr>
          <w:rFonts w:ascii="Arial" w:hAnsi="Arial" w:cs="Arial"/>
          <w:sz w:val="24"/>
          <w:szCs w:val="24"/>
        </w:rPr>
        <w:t>Ideally the Council will be looking for a single use tenant per investment to reduce management resource.</w:t>
      </w:r>
    </w:p>
    <w:p w:rsidR="00222855" w:rsidRPr="00A95263" w:rsidRDefault="00222855" w:rsidP="00222855">
      <w:pPr>
        <w:ind w:left="426"/>
        <w:rPr>
          <w:rFonts w:ascii="Arial" w:hAnsi="Arial" w:cs="Arial"/>
          <w:sz w:val="24"/>
          <w:szCs w:val="24"/>
        </w:rPr>
      </w:pPr>
      <w:r w:rsidRPr="00A95263">
        <w:rPr>
          <w:rFonts w:ascii="Arial" w:hAnsi="Arial" w:cs="Arial"/>
          <w:sz w:val="24"/>
          <w:szCs w:val="24"/>
        </w:rPr>
        <w:t>However, mixed use investments would also be potentially suitable additions to the portfolio, and in these cases the Council will be seeking a higher yield as compensation for additional management resource.  The Council will need to consider the management arrangement and cost.  These may include a mix of commercial uses and residential, or a mixture of retail and office use.  In terms of residential accommodation this is likely to be more management intensive than other types of commercial property investment and requires specialist residential management expertise, so it is proposed that residential acquisitions will only be part of this strategy if they are part of a mixed use investment, where the residential element is quite small.  Residential investment per se is excluded from this strategy.</w:t>
      </w:r>
    </w:p>
    <w:p w:rsidR="00222855" w:rsidRPr="00A95263" w:rsidRDefault="00222855" w:rsidP="00222855">
      <w:pPr>
        <w:pStyle w:val="ListParagraph"/>
        <w:numPr>
          <w:ilvl w:val="0"/>
          <w:numId w:val="9"/>
        </w:numPr>
        <w:rPr>
          <w:rFonts w:ascii="Arial" w:hAnsi="Arial" w:cs="Arial"/>
          <w:b/>
          <w:sz w:val="24"/>
          <w:szCs w:val="24"/>
          <w:u w:val="single"/>
        </w:rPr>
      </w:pPr>
      <w:r w:rsidRPr="00A95263">
        <w:rPr>
          <w:rFonts w:ascii="Arial" w:hAnsi="Arial" w:cs="Arial"/>
          <w:b/>
          <w:sz w:val="24"/>
          <w:szCs w:val="24"/>
          <w:u w:val="single"/>
        </w:rPr>
        <w:t>Lot Sizes</w:t>
      </w:r>
    </w:p>
    <w:p w:rsidR="00222855" w:rsidRPr="00A95263" w:rsidRDefault="00222855" w:rsidP="00222855">
      <w:pPr>
        <w:ind w:left="426"/>
        <w:rPr>
          <w:rFonts w:ascii="Arial" w:hAnsi="Arial" w:cs="Arial"/>
          <w:sz w:val="24"/>
          <w:szCs w:val="24"/>
        </w:rPr>
      </w:pPr>
      <w:r>
        <w:rPr>
          <w:rFonts w:ascii="Arial" w:hAnsi="Arial" w:cs="Arial"/>
          <w:sz w:val="24"/>
          <w:szCs w:val="24"/>
        </w:rPr>
        <w:t>The Council</w:t>
      </w:r>
      <w:r w:rsidRPr="00175DC3">
        <w:rPr>
          <w:rFonts w:ascii="Arial" w:hAnsi="Arial" w:cs="Arial"/>
          <w:sz w:val="24"/>
          <w:szCs w:val="24"/>
        </w:rPr>
        <w:t xml:space="preserve"> owns many low value, management intensive assets. The average income across the commercial portfolio is £8,345 pa per property, and </w:t>
      </w:r>
      <w:r w:rsidRPr="00175DC3">
        <w:rPr>
          <w:rFonts w:ascii="Arial" w:hAnsi="Arial" w:cs="Arial"/>
          <w:sz w:val="24"/>
          <w:szCs w:val="24"/>
        </w:rPr>
        <w:lastRenderedPageBreak/>
        <w:t>approximately 25% of all properties have an annu</w:t>
      </w:r>
      <w:r>
        <w:rPr>
          <w:rFonts w:ascii="Arial" w:hAnsi="Arial" w:cs="Arial"/>
          <w:sz w:val="24"/>
          <w:szCs w:val="24"/>
        </w:rPr>
        <w:t>al income of less than £5,000</w:t>
      </w:r>
      <w:r w:rsidRPr="00175DC3">
        <w:rPr>
          <w:rFonts w:ascii="Arial" w:hAnsi="Arial" w:cs="Arial"/>
          <w:sz w:val="24"/>
          <w:szCs w:val="24"/>
        </w:rPr>
        <w:t xml:space="preserve">. The strategic review </w:t>
      </w:r>
      <w:r w:rsidR="00CF2E3D">
        <w:rPr>
          <w:rFonts w:ascii="Arial" w:hAnsi="Arial" w:cs="Arial"/>
          <w:sz w:val="24"/>
          <w:szCs w:val="24"/>
        </w:rPr>
        <w:t>suggests</w:t>
      </w:r>
      <w:r w:rsidRPr="00175DC3">
        <w:rPr>
          <w:rFonts w:ascii="Arial" w:hAnsi="Arial" w:cs="Arial"/>
          <w:sz w:val="24"/>
          <w:szCs w:val="24"/>
        </w:rPr>
        <w:t xml:space="preserve"> that a sensible target would be lot sizes in </w:t>
      </w:r>
      <w:r>
        <w:rPr>
          <w:rFonts w:ascii="Arial" w:hAnsi="Arial" w:cs="Arial"/>
          <w:sz w:val="24"/>
          <w:szCs w:val="24"/>
        </w:rPr>
        <w:t>excess of £1m</w:t>
      </w:r>
      <w:r w:rsidRPr="00175DC3">
        <w:rPr>
          <w:rFonts w:ascii="Arial" w:hAnsi="Arial" w:cs="Arial"/>
          <w:sz w:val="24"/>
          <w:szCs w:val="24"/>
        </w:rPr>
        <w:t>. The benefits to the portfolio would be improved covenant mix, reduced risk exposure and lower management</w:t>
      </w:r>
      <w:r w:rsidR="00CF2E3D">
        <w:rPr>
          <w:rFonts w:ascii="Arial" w:hAnsi="Arial" w:cs="Arial"/>
          <w:sz w:val="24"/>
          <w:szCs w:val="24"/>
        </w:rPr>
        <w:t xml:space="preserve"> costs</w:t>
      </w:r>
      <w:r w:rsidRPr="00175DC3">
        <w:rPr>
          <w:rFonts w:ascii="Arial" w:hAnsi="Arial" w:cs="Arial"/>
          <w:sz w:val="24"/>
          <w:szCs w:val="24"/>
        </w:rPr>
        <w:t>. This also represents the simplest way of growing the Council’s income stream quickly.</w:t>
      </w:r>
      <w:r>
        <w:rPr>
          <w:rFonts w:ascii="Arial" w:hAnsi="Arial" w:cs="Arial"/>
          <w:sz w:val="24"/>
          <w:szCs w:val="24"/>
        </w:rPr>
        <w:t xml:space="preserve"> </w:t>
      </w:r>
      <w:r w:rsidRPr="00A95263">
        <w:rPr>
          <w:rFonts w:ascii="Arial" w:hAnsi="Arial" w:cs="Arial"/>
          <w:sz w:val="24"/>
          <w:szCs w:val="24"/>
        </w:rPr>
        <w:t xml:space="preserve">Flexibility is required in case the right deal comes along in one particular sector which may suit the Council’s requirements.  The principle of not having all your eggs in one basket to mitigate risk still applies.  </w:t>
      </w:r>
    </w:p>
    <w:p w:rsidR="00222855" w:rsidRPr="00A95263" w:rsidRDefault="00222855" w:rsidP="00222855">
      <w:pPr>
        <w:pStyle w:val="ListParagraph"/>
        <w:numPr>
          <w:ilvl w:val="0"/>
          <w:numId w:val="9"/>
        </w:numPr>
        <w:rPr>
          <w:rFonts w:ascii="Arial" w:hAnsi="Arial" w:cs="Arial"/>
          <w:b/>
          <w:sz w:val="24"/>
          <w:szCs w:val="24"/>
          <w:u w:val="single"/>
        </w:rPr>
      </w:pPr>
      <w:r w:rsidRPr="00A95263">
        <w:rPr>
          <w:rFonts w:ascii="Arial" w:hAnsi="Arial" w:cs="Arial"/>
          <w:b/>
          <w:sz w:val="24"/>
          <w:szCs w:val="24"/>
          <w:u w:val="single"/>
        </w:rPr>
        <w:t>Locations</w:t>
      </w:r>
    </w:p>
    <w:p w:rsidR="00222855" w:rsidRPr="00A95263" w:rsidRDefault="00222855" w:rsidP="00222855">
      <w:pPr>
        <w:ind w:left="426"/>
        <w:rPr>
          <w:rFonts w:ascii="Arial" w:hAnsi="Arial" w:cs="Arial"/>
          <w:sz w:val="24"/>
          <w:szCs w:val="24"/>
        </w:rPr>
      </w:pPr>
      <w:r w:rsidRPr="00A95263">
        <w:rPr>
          <w:rFonts w:ascii="Arial" w:hAnsi="Arial" w:cs="Arial"/>
          <w:sz w:val="24"/>
          <w:szCs w:val="24"/>
        </w:rPr>
        <w:t xml:space="preserve">As part of the first phase of this Strategy, the Council intend to purchase property investments within the </w:t>
      </w:r>
      <w:r>
        <w:rPr>
          <w:rFonts w:ascii="Arial" w:hAnsi="Arial" w:cs="Arial"/>
          <w:sz w:val="24"/>
          <w:szCs w:val="24"/>
        </w:rPr>
        <w:t>Central Lancashire area</w:t>
      </w:r>
      <w:r w:rsidRPr="00A95263">
        <w:rPr>
          <w:rFonts w:ascii="Arial" w:hAnsi="Arial" w:cs="Arial"/>
          <w:sz w:val="24"/>
          <w:szCs w:val="24"/>
        </w:rPr>
        <w:t>.  The objectives of this strategy are clearly identified under section 2 above.  T</w:t>
      </w:r>
      <w:r>
        <w:rPr>
          <w:rFonts w:ascii="Arial" w:hAnsi="Arial" w:cs="Arial"/>
          <w:sz w:val="24"/>
          <w:szCs w:val="24"/>
        </w:rPr>
        <w:t xml:space="preserve">he area is an economic growth area and </w:t>
      </w:r>
      <w:r w:rsidRPr="00A95263">
        <w:rPr>
          <w:rFonts w:ascii="Arial" w:hAnsi="Arial" w:cs="Arial"/>
          <w:sz w:val="24"/>
          <w:szCs w:val="24"/>
        </w:rPr>
        <w:t xml:space="preserve">offers opportunities across all the sectors.  </w:t>
      </w:r>
      <w:r>
        <w:rPr>
          <w:rFonts w:ascii="Arial" w:hAnsi="Arial" w:cs="Arial"/>
          <w:sz w:val="24"/>
          <w:szCs w:val="24"/>
        </w:rPr>
        <w:t xml:space="preserve">There should be sufficient opportunities to find suitable investment opportunities. </w:t>
      </w:r>
    </w:p>
    <w:p w:rsidR="005727CF" w:rsidRDefault="00222855" w:rsidP="00222855">
      <w:pPr>
        <w:pStyle w:val="ListParagraph"/>
        <w:numPr>
          <w:ilvl w:val="0"/>
          <w:numId w:val="2"/>
        </w:numPr>
        <w:ind w:left="567" w:hanging="567"/>
        <w:rPr>
          <w:rFonts w:ascii="Arial" w:hAnsi="Arial" w:cs="Arial"/>
          <w:b/>
          <w:sz w:val="24"/>
          <w:szCs w:val="24"/>
          <w:u w:val="single"/>
        </w:rPr>
      </w:pPr>
      <w:r>
        <w:rPr>
          <w:rFonts w:ascii="Arial" w:hAnsi="Arial" w:cs="Arial"/>
          <w:b/>
          <w:sz w:val="24"/>
          <w:szCs w:val="24"/>
          <w:u w:val="single"/>
        </w:rPr>
        <w:t>Investment Property C</w:t>
      </w:r>
      <w:r w:rsidR="005727CF" w:rsidRPr="00222855">
        <w:rPr>
          <w:rFonts w:ascii="Arial" w:hAnsi="Arial" w:cs="Arial"/>
          <w:b/>
          <w:sz w:val="24"/>
          <w:szCs w:val="24"/>
          <w:u w:val="single"/>
        </w:rPr>
        <w:t>riteria</w:t>
      </w:r>
    </w:p>
    <w:p w:rsidR="00F85067" w:rsidRPr="00A95263" w:rsidRDefault="00F85067" w:rsidP="00F85067">
      <w:pPr>
        <w:pStyle w:val="ListParagraph"/>
        <w:rPr>
          <w:rFonts w:ascii="Arial" w:hAnsi="Arial" w:cs="Arial"/>
          <w:b/>
          <w:sz w:val="24"/>
          <w:szCs w:val="24"/>
          <w:u w:val="single"/>
        </w:rPr>
      </w:pPr>
    </w:p>
    <w:p w:rsidR="00C57DFF" w:rsidRPr="00222855" w:rsidRDefault="00C57DFF" w:rsidP="00222855">
      <w:pPr>
        <w:pStyle w:val="ListParagraph"/>
        <w:numPr>
          <w:ilvl w:val="0"/>
          <w:numId w:val="3"/>
        </w:numPr>
        <w:ind w:left="851" w:hanging="425"/>
        <w:rPr>
          <w:rFonts w:ascii="Arial" w:hAnsi="Arial" w:cs="Arial"/>
          <w:b/>
          <w:sz w:val="24"/>
          <w:szCs w:val="24"/>
          <w:u w:val="single"/>
        </w:rPr>
      </w:pPr>
      <w:r w:rsidRPr="00222855">
        <w:rPr>
          <w:rFonts w:ascii="Arial" w:hAnsi="Arial" w:cs="Arial"/>
          <w:b/>
          <w:sz w:val="24"/>
          <w:szCs w:val="24"/>
          <w:u w:val="single"/>
        </w:rPr>
        <w:t>Type of investment</w:t>
      </w:r>
    </w:p>
    <w:p w:rsidR="00C57DFF" w:rsidRPr="00A95263" w:rsidRDefault="00C57DFF" w:rsidP="00222855">
      <w:pPr>
        <w:ind w:left="426"/>
        <w:rPr>
          <w:rFonts w:ascii="Arial" w:hAnsi="Arial" w:cs="Arial"/>
          <w:sz w:val="24"/>
          <w:szCs w:val="24"/>
        </w:rPr>
      </w:pPr>
      <w:r w:rsidRPr="00A95263">
        <w:rPr>
          <w:rFonts w:ascii="Arial" w:hAnsi="Arial" w:cs="Arial"/>
          <w:sz w:val="24"/>
          <w:szCs w:val="24"/>
        </w:rPr>
        <w:t xml:space="preserve">Investments will include freehold </w:t>
      </w:r>
      <w:r w:rsidR="000604C5" w:rsidRPr="00A95263">
        <w:rPr>
          <w:rFonts w:ascii="Arial" w:hAnsi="Arial" w:cs="Arial"/>
          <w:sz w:val="24"/>
          <w:szCs w:val="24"/>
        </w:rPr>
        <w:t xml:space="preserve">and long leasehold interest </w:t>
      </w:r>
      <w:r w:rsidRPr="00A95263">
        <w:rPr>
          <w:rFonts w:ascii="Arial" w:hAnsi="Arial" w:cs="Arial"/>
          <w:sz w:val="24"/>
          <w:szCs w:val="24"/>
        </w:rPr>
        <w:t>acquisitions of properties</w:t>
      </w:r>
      <w:r w:rsidR="000604C5" w:rsidRPr="00A95263">
        <w:rPr>
          <w:rFonts w:ascii="Arial" w:hAnsi="Arial" w:cs="Arial"/>
          <w:sz w:val="24"/>
          <w:szCs w:val="24"/>
        </w:rPr>
        <w:t xml:space="preserve">, </w:t>
      </w:r>
      <w:r w:rsidR="00FF3351" w:rsidRPr="00A95263">
        <w:rPr>
          <w:rFonts w:ascii="Arial" w:hAnsi="Arial" w:cs="Arial"/>
          <w:sz w:val="24"/>
          <w:szCs w:val="24"/>
        </w:rPr>
        <w:t>subject to a lease</w:t>
      </w:r>
      <w:r w:rsidRPr="00A95263">
        <w:rPr>
          <w:rFonts w:ascii="Arial" w:hAnsi="Arial" w:cs="Arial"/>
          <w:sz w:val="24"/>
          <w:szCs w:val="24"/>
        </w:rPr>
        <w:t>.</w:t>
      </w:r>
    </w:p>
    <w:p w:rsidR="00FF3351" w:rsidRPr="00222855" w:rsidRDefault="00FF3351" w:rsidP="00222855">
      <w:pPr>
        <w:pStyle w:val="ListParagraph"/>
        <w:numPr>
          <w:ilvl w:val="0"/>
          <w:numId w:val="3"/>
        </w:numPr>
        <w:ind w:left="851" w:hanging="491"/>
        <w:rPr>
          <w:rFonts w:ascii="Arial" w:hAnsi="Arial" w:cs="Arial"/>
          <w:b/>
          <w:sz w:val="24"/>
          <w:szCs w:val="24"/>
          <w:u w:val="single"/>
        </w:rPr>
      </w:pPr>
      <w:r w:rsidRPr="00222855">
        <w:rPr>
          <w:rFonts w:ascii="Arial" w:hAnsi="Arial" w:cs="Arial"/>
          <w:b/>
          <w:sz w:val="24"/>
          <w:szCs w:val="24"/>
          <w:u w:val="single"/>
        </w:rPr>
        <w:t>Yield</w:t>
      </w:r>
    </w:p>
    <w:p w:rsidR="00FF3351" w:rsidRPr="00A95263" w:rsidRDefault="00FF3351" w:rsidP="00222855">
      <w:pPr>
        <w:ind w:left="426"/>
        <w:rPr>
          <w:rFonts w:ascii="Arial" w:hAnsi="Arial" w:cs="Arial"/>
          <w:sz w:val="24"/>
          <w:szCs w:val="24"/>
        </w:rPr>
      </w:pPr>
      <w:r w:rsidRPr="00A95263">
        <w:rPr>
          <w:rFonts w:ascii="Arial" w:hAnsi="Arial" w:cs="Arial"/>
          <w:sz w:val="24"/>
          <w:szCs w:val="24"/>
        </w:rPr>
        <w:t xml:space="preserve">The </w:t>
      </w:r>
      <w:r w:rsidR="00C87E1F" w:rsidRPr="00A95263">
        <w:rPr>
          <w:rFonts w:ascii="Arial" w:hAnsi="Arial" w:cs="Arial"/>
          <w:sz w:val="24"/>
          <w:szCs w:val="24"/>
        </w:rPr>
        <w:t xml:space="preserve">target net annual </w:t>
      </w:r>
      <w:r w:rsidRPr="00A95263">
        <w:rPr>
          <w:rFonts w:ascii="Arial" w:hAnsi="Arial" w:cs="Arial"/>
          <w:sz w:val="24"/>
          <w:szCs w:val="24"/>
        </w:rPr>
        <w:t>yiel</w:t>
      </w:r>
      <w:r w:rsidR="00AF25E8">
        <w:rPr>
          <w:rFonts w:ascii="Arial" w:hAnsi="Arial" w:cs="Arial"/>
          <w:sz w:val="24"/>
          <w:szCs w:val="24"/>
        </w:rPr>
        <w:t>d range is anticipated between 5%</w:t>
      </w:r>
      <w:r w:rsidR="00CF2E3D">
        <w:rPr>
          <w:rFonts w:ascii="Arial" w:hAnsi="Arial" w:cs="Arial"/>
          <w:sz w:val="24"/>
          <w:szCs w:val="24"/>
        </w:rPr>
        <w:t>-8</w:t>
      </w:r>
      <w:r w:rsidRPr="00A95263">
        <w:rPr>
          <w:rFonts w:ascii="Arial" w:hAnsi="Arial" w:cs="Arial"/>
          <w:sz w:val="24"/>
          <w:szCs w:val="24"/>
        </w:rPr>
        <w:t>%.</w:t>
      </w:r>
      <w:r w:rsidR="00C87E1F" w:rsidRPr="00A95263">
        <w:rPr>
          <w:rFonts w:ascii="Arial" w:hAnsi="Arial" w:cs="Arial"/>
          <w:sz w:val="24"/>
          <w:szCs w:val="24"/>
        </w:rPr>
        <w:t xml:space="preserve"> </w:t>
      </w:r>
      <w:r w:rsidR="00154349">
        <w:rPr>
          <w:rFonts w:ascii="Arial" w:hAnsi="Arial" w:cs="Arial"/>
          <w:sz w:val="24"/>
          <w:szCs w:val="24"/>
        </w:rPr>
        <w:t xml:space="preserve">The lower yield will manifest in improved quality assets and longer tenure. </w:t>
      </w:r>
      <w:r w:rsidRPr="00A95263">
        <w:rPr>
          <w:rFonts w:ascii="Arial" w:hAnsi="Arial" w:cs="Arial"/>
          <w:sz w:val="24"/>
          <w:szCs w:val="24"/>
        </w:rPr>
        <w:t xml:space="preserve">Investments </w:t>
      </w:r>
      <w:r w:rsidR="00154349">
        <w:rPr>
          <w:rFonts w:ascii="Arial" w:hAnsi="Arial" w:cs="Arial"/>
          <w:sz w:val="24"/>
          <w:szCs w:val="24"/>
        </w:rPr>
        <w:t xml:space="preserve">should also </w:t>
      </w:r>
      <w:r w:rsidRPr="00A95263">
        <w:rPr>
          <w:rFonts w:ascii="Arial" w:hAnsi="Arial" w:cs="Arial"/>
          <w:sz w:val="24"/>
          <w:szCs w:val="24"/>
        </w:rPr>
        <w:t xml:space="preserve">be required to provide income equal to </w:t>
      </w:r>
      <w:r w:rsidR="00C87E1F" w:rsidRPr="00A95263">
        <w:rPr>
          <w:rFonts w:ascii="Arial" w:hAnsi="Arial" w:cs="Arial"/>
          <w:sz w:val="24"/>
          <w:szCs w:val="24"/>
        </w:rPr>
        <w:t>at least two percent</w:t>
      </w:r>
      <w:r w:rsidRPr="00A95263">
        <w:rPr>
          <w:rFonts w:ascii="Arial" w:hAnsi="Arial" w:cs="Arial"/>
          <w:sz w:val="24"/>
          <w:szCs w:val="24"/>
        </w:rPr>
        <w:t xml:space="preserve"> above the Council’s required rate of return, defined by the cost of borrowing</w:t>
      </w:r>
      <w:r w:rsidR="00222855">
        <w:rPr>
          <w:rFonts w:ascii="Arial" w:hAnsi="Arial" w:cs="Arial"/>
          <w:sz w:val="24"/>
          <w:szCs w:val="24"/>
        </w:rPr>
        <w:t xml:space="preserve"> (as at the 2</w:t>
      </w:r>
      <w:r w:rsidR="00222855" w:rsidRPr="00222855">
        <w:rPr>
          <w:rFonts w:ascii="Arial" w:hAnsi="Arial" w:cs="Arial"/>
          <w:sz w:val="24"/>
          <w:szCs w:val="24"/>
          <w:vertAlign w:val="superscript"/>
        </w:rPr>
        <w:t>nd</w:t>
      </w:r>
      <w:r w:rsidR="00222855">
        <w:rPr>
          <w:rFonts w:ascii="Arial" w:hAnsi="Arial" w:cs="Arial"/>
          <w:sz w:val="24"/>
          <w:szCs w:val="24"/>
        </w:rPr>
        <w:t xml:space="preserve"> October</w:t>
      </w:r>
      <w:r w:rsidRPr="00A95263">
        <w:rPr>
          <w:rFonts w:ascii="Arial" w:hAnsi="Arial" w:cs="Arial"/>
          <w:sz w:val="24"/>
          <w:szCs w:val="24"/>
        </w:rPr>
        <w:t>, Publ</w:t>
      </w:r>
      <w:r w:rsidR="00154349">
        <w:rPr>
          <w:rFonts w:ascii="Arial" w:hAnsi="Arial" w:cs="Arial"/>
          <w:sz w:val="24"/>
          <w:szCs w:val="24"/>
        </w:rPr>
        <w:t>ic Works Loan Board rate is 2.5</w:t>
      </w:r>
      <w:r w:rsidRPr="00A95263">
        <w:rPr>
          <w:rFonts w:ascii="Arial" w:hAnsi="Arial" w:cs="Arial"/>
          <w:sz w:val="24"/>
          <w:szCs w:val="24"/>
        </w:rPr>
        <w:t>% over 25 years)</w:t>
      </w:r>
      <w:r w:rsidR="00154349">
        <w:rPr>
          <w:rFonts w:ascii="Arial" w:hAnsi="Arial" w:cs="Arial"/>
          <w:sz w:val="24"/>
          <w:szCs w:val="24"/>
        </w:rPr>
        <w:t xml:space="preserve">. </w:t>
      </w:r>
      <w:r w:rsidR="0059747D">
        <w:rPr>
          <w:rFonts w:ascii="Arial" w:hAnsi="Arial" w:cs="Arial"/>
          <w:sz w:val="24"/>
          <w:szCs w:val="24"/>
        </w:rPr>
        <w:t>5</w:t>
      </w:r>
      <w:r w:rsidR="00C87E1F" w:rsidRPr="00A95263">
        <w:rPr>
          <w:rFonts w:ascii="Arial" w:hAnsi="Arial" w:cs="Arial"/>
          <w:sz w:val="24"/>
          <w:szCs w:val="24"/>
        </w:rPr>
        <w:t>% will pr</w:t>
      </w:r>
      <w:r w:rsidR="0059747D">
        <w:rPr>
          <w:rFonts w:ascii="Arial" w:hAnsi="Arial" w:cs="Arial"/>
          <w:sz w:val="24"/>
          <w:szCs w:val="24"/>
        </w:rPr>
        <w:t>ovide a margin above this level at this moment in time.</w:t>
      </w:r>
    </w:p>
    <w:p w:rsidR="00823663" w:rsidRDefault="004052CB" w:rsidP="00222855">
      <w:pPr>
        <w:ind w:left="426"/>
        <w:rPr>
          <w:rFonts w:ascii="Arial" w:hAnsi="Arial" w:cs="Arial"/>
          <w:sz w:val="24"/>
          <w:szCs w:val="24"/>
        </w:rPr>
      </w:pPr>
      <w:r w:rsidRPr="00A95263">
        <w:rPr>
          <w:rFonts w:ascii="Arial" w:hAnsi="Arial" w:cs="Arial"/>
          <w:sz w:val="24"/>
          <w:szCs w:val="24"/>
        </w:rPr>
        <w:t>The yield will also reflect the risk on the in</w:t>
      </w:r>
      <w:r w:rsidR="00154349">
        <w:rPr>
          <w:rFonts w:ascii="Arial" w:hAnsi="Arial" w:cs="Arial"/>
          <w:sz w:val="24"/>
          <w:szCs w:val="24"/>
        </w:rPr>
        <w:t>vestment.  At the lower level, 5</w:t>
      </w:r>
      <w:r w:rsidRPr="00A95263">
        <w:rPr>
          <w:rFonts w:ascii="Arial" w:hAnsi="Arial" w:cs="Arial"/>
          <w:sz w:val="24"/>
          <w:szCs w:val="24"/>
        </w:rPr>
        <w:t xml:space="preserve">%, the investment is likely to be a </w:t>
      </w:r>
      <w:r w:rsidR="00C173F9" w:rsidRPr="00A95263">
        <w:rPr>
          <w:rFonts w:ascii="Arial" w:hAnsi="Arial" w:cs="Arial"/>
          <w:sz w:val="24"/>
          <w:szCs w:val="24"/>
        </w:rPr>
        <w:t xml:space="preserve">reasonably </w:t>
      </w:r>
      <w:r w:rsidR="004A4362" w:rsidRPr="00A95263">
        <w:rPr>
          <w:rFonts w:ascii="Arial" w:hAnsi="Arial" w:cs="Arial"/>
          <w:sz w:val="24"/>
          <w:szCs w:val="24"/>
        </w:rPr>
        <w:t xml:space="preserve">safe with a </w:t>
      </w:r>
      <w:r w:rsidRPr="00A95263">
        <w:rPr>
          <w:rFonts w:ascii="Arial" w:hAnsi="Arial" w:cs="Arial"/>
          <w:sz w:val="24"/>
          <w:szCs w:val="24"/>
        </w:rPr>
        <w:t>single use tenant occupying under a secure tenancy</w:t>
      </w:r>
      <w:r w:rsidR="00154349">
        <w:rPr>
          <w:rFonts w:ascii="Arial" w:hAnsi="Arial" w:cs="Arial"/>
          <w:sz w:val="24"/>
          <w:szCs w:val="24"/>
        </w:rPr>
        <w:t>. At the higher yield, 8</w:t>
      </w:r>
      <w:r w:rsidRPr="00A95263">
        <w:rPr>
          <w:rFonts w:ascii="Arial" w:hAnsi="Arial" w:cs="Arial"/>
          <w:sz w:val="24"/>
          <w:szCs w:val="24"/>
        </w:rPr>
        <w:t xml:space="preserve">%, there is likely to be </w:t>
      </w:r>
      <w:r w:rsidR="00C173F9" w:rsidRPr="00A95263">
        <w:rPr>
          <w:rFonts w:ascii="Arial" w:hAnsi="Arial" w:cs="Arial"/>
          <w:sz w:val="24"/>
          <w:szCs w:val="24"/>
        </w:rPr>
        <w:t xml:space="preserve">a greater number of tenants with </w:t>
      </w:r>
      <w:r w:rsidRPr="00A95263">
        <w:rPr>
          <w:rFonts w:ascii="Arial" w:hAnsi="Arial" w:cs="Arial"/>
          <w:sz w:val="24"/>
          <w:szCs w:val="24"/>
        </w:rPr>
        <w:t xml:space="preserve">more risk of tenant/s default, and greater risk of void periods.  </w:t>
      </w:r>
    </w:p>
    <w:p w:rsidR="00C57DFF" w:rsidRPr="00CA0CBD" w:rsidRDefault="005727CF" w:rsidP="00222855">
      <w:pPr>
        <w:pStyle w:val="ListParagraph"/>
        <w:numPr>
          <w:ilvl w:val="0"/>
          <w:numId w:val="3"/>
        </w:numPr>
        <w:ind w:left="851" w:hanging="425"/>
        <w:rPr>
          <w:rFonts w:ascii="Arial" w:hAnsi="Arial" w:cs="Arial"/>
          <w:b/>
          <w:sz w:val="24"/>
          <w:szCs w:val="24"/>
          <w:u w:val="single"/>
        </w:rPr>
      </w:pPr>
      <w:r w:rsidRPr="00CA0CBD">
        <w:rPr>
          <w:rFonts w:ascii="Arial" w:hAnsi="Arial" w:cs="Arial"/>
          <w:b/>
          <w:sz w:val="24"/>
          <w:szCs w:val="24"/>
          <w:u w:val="single"/>
        </w:rPr>
        <w:t>Location</w:t>
      </w:r>
    </w:p>
    <w:p w:rsidR="00C57DFF" w:rsidRPr="00A95263" w:rsidRDefault="003A36E6" w:rsidP="00222855">
      <w:pPr>
        <w:ind w:left="426"/>
        <w:rPr>
          <w:rFonts w:ascii="Arial" w:hAnsi="Arial" w:cs="Arial"/>
          <w:sz w:val="24"/>
          <w:szCs w:val="24"/>
        </w:rPr>
      </w:pPr>
      <w:r w:rsidRPr="00A95263">
        <w:rPr>
          <w:rFonts w:ascii="Arial" w:hAnsi="Arial" w:cs="Arial"/>
          <w:sz w:val="24"/>
          <w:szCs w:val="24"/>
        </w:rPr>
        <w:t>Good prime locations will be sought</w:t>
      </w:r>
      <w:r w:rsidR="004D16D4" w:rsidRPr="00A95263">
        <w:rPr>
          <w:rFonts w:ascii="Arial" w:hAnsi="Arial" w:cs="Arial"/>
          <w:sz w:val="24"/>
          <w:szCs w:val="24"/>
        </w:rPr>
        <w:t>.</w:t>
      </w:r>
      <w:r w:rsidRPr="00A95263">
        <w:rPr>
          <w:rFonts w:ascii="Arial" w:hAnsi="Arial" w:cs="Arial"/>
          <w:sz w:val="24"/>
          <w:szCs w:val="24"/>
        </w:rPr>
        <w:t xml:space="preserve">  Consideration will be given to whether a tenant could be found in the event of default. </w:t>
      </w:r>
      <w:r w:rsidR="004D16D4" w:rsidRPr="00A95263">
        <w:rPr>
          <w:rFonts w:ascii="Arial" w:hAnsi="Arial" w:cs="Arial"/>
          <w:sz w:val="24"/>
          <w:szCs w:val="24"/>
        </w:rPr>
        <w:t xml:space="preserve"> This will be dictated by oppor</w:t>
      </w:r>
      <w:r w:rsidR="00222855">
        <w:rPr>
          <w:rFonts w:ascii="Arial" w:hAnsi="Arial" w:cs="Arial"/>
          <w:sz w:val="24"/>
          <w:szCs w:val="24"/>
        </w:rPr>
        <w:t>tunity to acquire investments.</w:t>
      </w:r>
    </w:p>
    <w:p w:rsidR="005727CF" w:rsidRPr="00CA0CBD" w:rsidRDefault="005727CF" w:rsidP="00222855">
      <w:pPr>
        <w:pStyle w:val="ListParagraph"/>
        <w:numPr>
          <w:ilvl w:val="0"/>
          <w:numId w:val="3"/>
        </w:numPr>
        <w:ind w:left="851" w:hanging="491"/>
        <w:rPr>
          <w:rFonts w:ascii="Arial" w:hAnsi="Arial" w:cs="Arial"/>
          <w:b/>
          <w:sz w:val="24"/>
          <w:szCs w:val="24"/>
          <w:u w:val="single"/>
        </w:rPr>
      </w:pPr>
      <w:r w:rsidRPr="00CA0CBD">
        <w:rPr>
          <w:rFonts w:ascii="Arial" w:hAnsi="Arial" w:cs="Arial"/>
          <w:b/>
          <w:sz w:val="24"/>
          <w:szCs w:val="24"/>
          <w:u w:val="single"/>
        </w:rPr>
        <w:t>Building Specification quality</w:t>
      </w:r>
    </w:p>
    <w:p w:rsidR="004D16D4" w:rsidRPr="00A95263" w:rsidRDefault="00AF25E8" w:rsidP="00AF25E8">
      <w:pPr>
        <w:ind w:left="426"/>
        <w:rPr>
          <w:rFonts w:ascii="Arial" w:hAnsi="Arial" w:cs="Arial"/>
          <w:sz w:val="24"/>
          <w:szCs w:val="24"/>
        </w:rPr>
      </w:pPr>
      <w:r w:rsidRPr="00AF25E8">
        <w:rPr>
          <w:rFonts w:ascii="Arial" w:hAnsi="Arial" w:cs="Arial"/>
          <w:sz w:val="24"/>
          <w:szCs w:val="24"/>
        </w:rPr>
        <w:lastRenderedPageBreak/>
        <w:t>The strategic review recommended that the Council place an emphasis on quality in seeking new investment opportunities. There will always be a demand for lower cost, lower grade space, but investing in higher quality stock going forward will provide greater long term protection against obsolescence (both functional and physical), tenant churn and costs. SRBC also needs to focus strategically on improving the quality of its asset base in order to manage risk and facilitate a transition to a more resilient or “future-proofed” property portfolio in the context of new property development expected to be facilitated in the coming years by City Deal investment. Future acquisitions should therefore be considered with the aim of improving the quality within the portfolio.</w:t>
      </w:r>
    </w:p>
    <w:p w:rsidR="005727CF" w:rsidRPr="00CA0CBD" w:rsidRDefault="005727CF" w:rsidP="00AF25E8">
      <w:pPr>
        <w:pStyle w:val="ListParagraph"/>
        <w:numPr>
          <w:ilvl w:val="0"/>
          <w:numId w:val="3"/>
        </w:numPr>
        <w:ind w:left="851" w:hanging="491"/>
        <w:rPr>
          <w:rFonts w:ascii="Arial" w:hAnsi="Arial" w:cs="Arial"/>
          <w:b/>
          <w:sz w:val="24"/>
          <w:szCs w:val="24"/>
          <w:u w:val="single"/>
        </w:rPr>
      </w:pPr>
      <w:r w:rsidRPr="00CA0CBD">
        <w:rPr>
          <w:rFonts w:ascii="Arial" w:hAnsi="Arial" w:cs="Arial"/>
          <w:b/>
          <w:sz w:val="24"/>
          <w:szCs w:val="24"/>
          <w:u w:val="single"/>
        </w:rPr>
        <w:t>Length of lease unexpired</w:t>
      </w:r>
    </w:p>
    <w:p w:rsidR="00AF25E8" w:rsidRDefault="00AF25E8" w:rsidP="00AF25E8">
      <w:pPr>
        <w:ind w:left="426"/>
        <w:rPr>
          <w:rFonts w:ascii="Arial" w:hAnsi="Arial" w:cs="Arial"/>
          <w:sz w:val="24"/>
          <w:szCs w:val="24"/>
        </w:rPr>
      </w:pPr>
      <w:r>
        <w:rPr>
          <w:rFonts w:ascii="Arial" w:hAnsi="Arial" w:cs="Arial"/>
          <w:sz w:val="24"/>
          <w:szCs w:val="24"/>
        </w:rPr>
        <w:t xml:space="preserve">An important measure of income risk is the </w:t>
      </w:r>
      <w:r>
        <w:rPr>
          <w:rFonts w:ascii="Arial" w:hAnsi="Arial" w:cs="Arial"/>
          <w:b/>
          <w:sz w:val="24"/>
          <w:szCs w:val="24"/>
        </w:rPr>
        <w:t xml:space="preserve">weighted average unexpired lease term (WAULT). </w:t>
      </w:r>
      <w:r>
        <w:rPr>
          <w:rFonts w:ascii="Arial" w:hAnsi="Arial" w:cs="Arial"/>
          <w:sz w:val="24"/>
          <w:szCs w:val="24"/>
        </w:rPr>
        <w:t xml:space="preserve"> </w:t>
      </w:r>
      <w:r w:rsidRPr="00AF25E8">
        <w:rPr>
          <w:rFonts w:ascii="Arial" w:hAnsi="Arial" w:cs="Arial"/>
          <w:sz w:val="24"/>
          <w:szCs w:val="24"/>
        </w:rPr>
        <w:t xml:space="preserve">This metric is often used by investors to measure the risk of a multi-tenanted property going vacant </w:t>
      </w:r>
      <w:r>
        <w:rPr>
          <w:rFonts w:ascii="Arial" w:hAnsi="Arial" w:cs="Arial"/>
          <w:sz w:val="24"/>
          <w:szCs w:val="24"/>
        </w:rPr>
        <w:t>and,</w:t>
      </w:r>
      <w:r w:rsidRPr="00AF25E8">
        <w:rPr>
          <w:rFonts w:ascii="Arial" w:hAnsi="Arial" w:cs="Arial"/>
          <w:sz w:val="24"/>
          <w:szCs w:val="24"/>
        </w:rPr>
        <w:t xml:space="preserve"> typically, the longer the WAULT the more stable the income and therefore the more attractive the investment. </w:t>
      </w:r>
      <w:r>
        <w:rPr>
          <w:rFonts w:ascii="Arial" w:hAnsi="Arial" w:cs="Arial"/>
          <w:sz w:val="24"/>
          <w:szCs w:val="24"/>
        </w:rPr>
        <w:t xml:space="preserve">There is a correlation between length of lease and yield. </w:t>
      </w:r>
      <w:r w:rsidRPr="00AF25E8">
        <w:rPr>
          <w:rFonts w:ascii="Arial" w:hAnsi="Arial" w:cs="Arial"/>
          <w:sz w:val="24"/>
          <w:szCs w:val="24"/>
        </w:rPr>
        <w:t xml:space="preserve">Also, properties with shorter WAULT will face higher costs in terms of leasing agent fees, advertising fees and legal fees. </w:t>
      </w:r>
    </w:p>
    <w:p w:rsidR="003A36E6" w:rsidRDefault="00AF25E8" w:rsidP="00AF25E8">
      <w:pPr>
        <w:ind w:left="426"/>
        <w:rPr>
          <w:rFonts w:ascii="Arial" w:hAnsi="Arial" w:cs="Arial"/>
          <w:sz w:val="24"/>
          <w:szCs w:val="24"/>
        </w:rPr>
      </w:pPr>
      <w:r>
        <w:rPr>
          <w:rFonts w:ascii="Arial" w:hAnsi="Arial" w:cs="Arial"/>
          <w:sz w:val="24"/>
          <w:szCs w:val="24"/>
        </w:rPr>
        <w:t xml:space="preserve">The WAULT on the current portfolio is 2.1years which is unsurprising with the focus on small industrial units. Therefore to diversify, ideally only </w:t>
      </w:r>
      <w:r w:rsidR="003A36E6" w:rsidRPr="00A95263">
        <w:rPr>
          <w:rFonts w:ascii="Arial" w:hAnsi="Arial" w:cs="Arial"/>
          <w:sz w:val="24"/>
          <w:szCs w:val="24"/>
        </w:rPr>
        <w:t>leases with a minimum unexpired term of five years will be considered.  Our preference is for leases closer to ten years, but we have lowered the expectation here to widen the market for investment opportunities</w:t>
      </w:r>
      <w:r w:rsidR="00A1458D" w:rsidRPr="00A95263">
        <w:rPr>
          <w:rFonts w:ascii="Arial" w:hAnsi="Arial" w:cs="Arial"/>
          <w:sz w:val="24"/>
          <w:szCs w:val="24"/>
        </w:rPr>
        <w:t xml:space="preserve"> given the target yield</w:t>
      </w:r>
      <w:r>
        <w:rPr>
          <w:rFonts w:ascii="Arial" w:hAnsi="Arial" w:cs="Arial"/>
          <w:sz w:val="24"/>
          <w:szCs w:val="24"/>
        </w:rPr>
        <w:t xml:space="preserve"> (5</w:t>
      </w:r>
      <w:r w:rsidR="00C173F9" w:rsidRPr="00A95263">
        <w:rPr>
          <w:rFonts w:ascii="Arial" w:hAnsi="Arial" w:cs="Arial"/>
          <w:sz w:val="24"/>
          <w:szCs w:val="24"/>
        </w:rPr>
        <w:t>%)</w:t>
      </w:r>
      <w:r w:rsidR="003A36E6" w:rsidRPr="00A95263">
        <w:rPr>
          <w:rFonts w:ascii="Arial" w:hAnsi="Arial" w:cs="Arial"/>
          <w:sz w:val="24"/>
          <w:szCs w:val="24"/>
        </w:rPr>
        <w:t xml:space="preserve">. </w:t>
      </w:r>
    </w:p>
    <w:p w:rsidR="005727CF" w:rsidRPr="00CA0CBD" w:rsidRDefault="005727CF" w:rsidP="00AF25E8">
      <w:pPr>
        <w:pStyle w:val="ListParagraph"/>
        <w:numPr>
          <w:ilvl w:val="0"/>
          <w:numId w:val="3"/>
        </w:numPr>
        <w:ind w:left="851" w:hanging="491"/>
        <w:rPr>
          <w:rFonts w:ascii="Arial" w:hAnsi="Arial" w:cs="Arial"/>
          <w:b/>
          <w:sz w:val="24"/>
          <w:szCs w:val="24"/>
          <w:u w:val="single"/>
        </w:rPr>
      </w:pPr>
      <w:r w:rsidRPr="00CA0CBD">
        <w:rPr>
          <w:rFonts w:ascii="Arial" w:hAnsi="Arial" w:cs="Arial"/>
          <w:b/>
          <w:sz w:val="24"/>
          <w:szCs w:val="24"/>
          <w:u w:val="single"/>
        </w:rPr>
        <w:t>Financial strength of tenants</w:t>
      </w:r>
    </w:p>
    <w:p w:rsidR="009C2927" w:rsidRPr="00A95263" w:rsidRDefault="009C2927" w:rsidP="00AF25E8">
      <w:pPr>
        <w:ind w:left="426"/>
        <w:rPr>
          <w:rFonts w:ascii="Arial" w:hAnsi="Arial" w:cs="Arial"/>
          <w:sz w:val="24"/>
          <w:szCs w:val="24"/>
        </w:rPr>
      </w:pPr>
      <w:r w:rsidRPr="00A95263">
        <w:rPr>
          <w:rFonts w:ascii="Arial" w:hAnsi="Arial" w:cs="Arial"/>
          <w:sz w:val="24"/>
          <w:szCs w:val="24"/>
        </w:rPr>
        <w:t xml:space="preserve">The covenant strength of the tenant should be </w:t>
      </w:r>
      <w:r w:rsidR="00FF3351" w:rsidRPr="00A95263">
        <w:rPr>
          <w:rFonts w:ascii="Arial" w:hAnsi="Arial" w:cs="Arial"/>
          <w:sz w:val="24"/>
          <w:szCs w:val="24"/>
        </w:rPr>
        <w:t xml:space="preserve">as a minimum </w:t>
      </w:r>
      <w:r w:rsidRPr="00A95263">
        <w:rPr>
          <w:rFonts w:ascii="Arial" w:hAnsi="Arial" w:cs="Arial"/>
          <w:sz w:val="24"/>
          <w:szCs w:val="24"/>
        </w:rPr>
        <w:t>good.</w:t>
      </w:r>
      <w:r w:rsidR="00FF3351" w:rsidRPr="00A95263">
        <w:rPr>
          <w:rFonts w:ascii="Arial" w:hAnsi="Arial" w:cs="Arial"/>
          <w:sz w:val="24"/>
          <w:szCs w:val="24"/>
        </w:rPr>
        <w:t xml:space="preserve">  This will be determined through financial </w:t>
      </w:r>
      <w:r w:rsidR="00D16DD6" w:rsidRPr="00A95263">
        <w:rPr>
          <w:rFonts w:ascii="Arial" w:hAnsi="Arial" w:cs="Arial"/>
          <w:sz w:val="24"/>
          <w:szCs w:val="24"/>
        </w:rPr>
        <w:t xml:space="preserve">appraisal of company accounts </w:t>
      </w:r>
      <w:r w:rsidR="00FF3351" w:rsidRPr="00A95263">
        <w:rPr>
          <w:rFonts w:ascii="Arial" w:hAnsi="Arial" w:cs="Arial"/>
          <w:sz w:val="24"/>
          <w:szCs w:val="24"/>
        </w:rPr>
        <w:t xml:space="preserve">and </w:t>
      </w:r>
      <w:r w:rsidR="00D16DD6" w:rsidRPr="00A95263">
        <w:rPr>
          <w:rFonts w:ascii="Arial" w:hAnsi="Arial" w:cs="Arial"/>
          <w:sz w:val="24"/>
          <w:szCs w:val="24"/>
        </w:rPr>
        <w:t>the use of appropriate methods of risk assessment and credit scoring</w:t>
      </w:r>
      <w:r w:rsidR="00FF3351" w:rsidRPr="00A95263">
        <w:rPr>
          <w:rFonts w:ascii="Arial" w:hAnsi="Arial" w:cs="Arial"/>
          <w:sz w:val="24"/>
          <w:szCs w:val="24"/>
        </w:rPr>
        <w:t>.</w:t>
      </w:r>
      <w:r w:rsidRPr="00A95263">
        <w:rPr>
          <w:rFonts w:ascii="Arial" w:hAnsi="Arial" w:cs="Arial"/>
          <w:sz w:val="24"/>
          <w:szCs w:val="24"/>
        </w:rPr>
        <w:t xml:space="preserve">  This should be provided on the initial check.</w:t>
      </w:r>
    </w:p>
    <w:p w:rsidR="005727CF" w:rsidRPr="00CA0CBD" w:rsidRDefault="005727CF" w:rsidP="00AF25E8">
      <w:pPr>
        <w:pStyle w:val="ListParagraph"/>
        <w:numPr>
          <w:ilvl w:val="0"/>
          <w:numId w:val="3"/>
        </w:numPr>
        <w:ind w:left="851" w:hanging="491"/>
        <w:rPr>
          <w:rFonts w:ascii="Arial" w:hAnsi="Arial" w:cs="Arial"/>
          <w:b/>
          <w:sz w:val="24"/>
          <w:szCs w:val="24"/>
          <w:u w:val="single"/>
        </w:rPr>
      </w:pPr>
      <w:r w:rsidRPr="00CA0CBD">
        <w:rPr>
          <w:rFonts w:ascii="Arial" w:hAnsi="Arial" w:cs="Arial"/>
          <w:b/>
          <w:sz w:val="24"/>
          <w:szCs w:val="24"/>
          <w:u w:val="single"/>
        </w:rPr>
        <w:t>Rental levels</w:t>
      </w:r>
    </w:p>
    <w:p w:rsidR="009C2927" w:rsidRPr="00A95263" w:rsidRDefault="009C2927" w:rsidP="00AF25E8">
      <w:pPr>
        <w:ind w:left="426"/>
        <w:rPr>
          <w:rFonts w:ascii="Arial" w:hAnsi="Arial" w:cs="Arial"/>
          <w:sz w:val="24"/>
          <w:szCs w:val="24"/>
        </w:rPr>
      </w:pPr>
      <w:r w:rsidRPr="00A95263">
        <w:rPr>
          <w:rFonts w:ascii="Arial" w:hAnsi="Arial" w:cs="Arial"/>
          <w:sz w:val="24"/>
          <w:szCs w:val="24"/>
        </w:rPr>
        <w:t>The current market rent shall be equal to or above the passing rent.  The income should be secure</w:t>
      </w:r>
      <w:r w:rsidR="00C87E1F" w:rsidRPr="00A95263">
        <w:rPr>
          <w:rFonts w:ascii="Arial" w:hAnsi="Arial" w:cs="Arial"/>
          <w:sz w:val="24"/>
          <w:szCs w:val="24"/>
        </w:rPr>
        <w:t xml:space="preserve"> </w:t>
      </w:r>
      <w:r w:rsidR="00154349">
        <w:rPr>
          <w:rFonts w:ascii="Arial" w:hAnsi="Arial" w:cs="Arial"/>
          <w:sz w:val="24"/>
          <w:szCs w:val="24"/>
        </w:rPr>
        <w:t>reflecting tenant strength and on-going</w:t>
      </w:r>
      <w:r w:rsidRPr="00A95263">
        <w:rPr>
          <w:rFonts w:ascii="Arial" w:hAnsi="Arial" w:cs="Arial"/>
          <w:sz w:val="24"/>
          <w:szCs w:val="24"/>
        </w:rPr>
        <w:t>.</w:t>
      </w:r>
    </w:p>
    <w:p w:rsidR="009C2927" w:rsidRPr="00CA0CBD" w:rsidRDefault="009C2927" w:rsidP="00AF25E8">
      <w:pPr>
        <w:pStyle w:val="ListParagraph"/>
        <w:numPr>
          <w:ilvl w:val="0"/>
          <w:numId w:val="3"/>
        </w:numPr>
        <w:ind w:left="851" w:hanging="491"/>
        <w:rPr>
          <w:rFonts w:ascii="Arial" w:hAnsi="Arial" w:cs="Arial"/>
          <w:b/>
          <w:sz w:val="24"/>
          <w:szCs w:val="24"/>
          <w:u w:val="single"/>
        </w:rPr>
      </w:pPr>
      <w:r w:rsidRPr="00CA0CBD">
        <w:rPr>
          <w:rFonts w:ascii="Arial" w:hAnsi="Arial" w:cs="Arial"/>
          <w:b/>
          <w:sz w:val="24"/>
          <w:szCs w:val="24"/>
          <w:u w:val="single"/>
        </w:rPr>
        <w:t>Management Issues</w:t>
      </w:r>
    </w:p>
    <w:p w:rsidR="009C2927" w:rsidRPr="00A95263" w:rsidRDefault="009C2927" w:rsidP="00AF25E8">
      <w:pPr>
        <w:ind w:left="426"/>
        <w:rPr>
          <w:rFonts w:ascii="Arial" w:hAnsi="Arial" w:cs="Arial"/>
          <w:sz w:val="24"/>
          <w:szCs w:val="24"/>
        </w:rPr>
      </w:pPr>
      <w:r w:rsidRPr="00A95263">
        <w:rPr>
          <w:rFonts w:ascii="Arial" w:hAnsi="Arial" w:cs="Arial"/>
          <w:sz w:val="24"/>
          <w:szCs w:val="24"/>
        </w:rPr>
        <w:t xml:space="preserve">Management issues in relation to the investment should be minimal.  </w:t>
      </w:r>
    </w:p>
    <w:p w:rsidR="005727CF" w:rsidRPr="00CA0CBD" w:rsidRDefault="005727CF" w:rsidP="00176633">
      <w:pPr>
        <w:pStyle w:val="ListParagraph"/>
        <w:numPr>
          <w:ilvl w:val="0"/>
          <w:numId w:val="3"/>
        </w:numPr>
        <w:ind w:left="851" w:hanging="491"/>
        <w:rPr>
          <w:rFonts w:ascii="Arial" w:hAnsi="Arial" w:cs="Arial"/>
          <w:b/>
          <w:sz w:val="24"/>
          <w:szCs w:val="24"/>
          <w:u w:val="single"/>
        </w:rPr>
      </w:pPr>
      <w:r w:rsidRPr="00CA0CBD">
        <w:rPr>
          <w:rFonts w:ascii="Arial" w:hAnsi="Arial" w:cs="Arial"/>
          <w:b/>
          <w:sz w:val="24"/>
          <w:szCs w:val="24"/>
          <w:u w:val="single"/>
        </w:rPr>
        <w:t>Use</w:t>
      </w:r>
      <w:r w:rsidR="009C2927" w:rsidRPr="00CA0CBD">
        <w:rPr>
          <w:rFonts w:ascii="Arial" w:hAnsi="Arial" w:cs="Arial"/>
          <w:b/>
          <w:sz w:val="24"/>
          <w:szCs w:val="24"/>
          <w:u w:val="single"/>
        </w:rPr>
        <w:t xml:space="preserve"> – Existing and Alternative</w:t>
      </w:r>
    </w:p>
    <w:p w:rsidR="00C87E1F" w:rsidRDefault="003A36E6" w:rsidP="00176633">
      <w:pPr>
        <w:ind w:left="567"/>
        <w:rPr>
          <w:rFonts w:ascii="Arial" w:hAnsi="Arial" w:cs="Arial"/>
          <w:sz w:val="24"/>
          <w:szCs w:val="24"/>
        </w:rPr>
      </w:pPr>
      <w:r w:rsidRPr="00A95263">
        <w:rPr>
          <w:rFonts w:ascii="Arial" w:hAnsi="Arial" w:cs="Arial"/>
          <w:sz w:val="24"/>
          <w:szCs w:val="24"/>
        </w:rPr>
        <w:t>Consideration will also be given in each case to the alternative use for the property, i.e. development potential</w:t>
      </w:r>
      <w:r w:rsidR="00D16DD6" w:rsidRPr="00A95263">
        <w:rPr>
          <w:rFonts w:ascii="Arial" w:hAnsi="Arial" w:cs="Arial"/>
          <w:sz w:val="24"/>
          <w:szCs w:val="24"/>
        </w:rPr>
        <w:t xml:space="preserve"> and its exit value</w:t>
      </w:r>
      <w:r w:rsidRPr="00A95263">
        <w:rPr>
          <w:rFonts w:ascii="Arial" w:hAnsi="Arial" w:cs="Arial"/>
          <w:sz w:val="24"/>
          <w:szCs w:val="24"/>
        </w:rPr>
        <w:t xml:space="preserve">.  This will be considered </w:t>
      </w:r>
      <w:r w:rsidRPr="00A95263">
        <w:rPr>
          <w:rFonts w:ascii="Arial" w:hAnsi="Arial" w:cs="Arial"/>
          <w:sz w:val="24"/>
          <w:szCs w:val="24"/>
        </w:rPr>
        <w:lastRenderedPageBreak/>
        <w:t>as a bonus if residential development is an alternative possibility.  However this will not be a primary factor in the decision.</w:t>
      </w:r>
    </w:p>
    <w:p w:rsidR="0059747D" w:rsidRPr="0059747D" w:rsidRDefault="0059747D" w:rsidP="00176633">
      <w:pPr>
        <w:ind w:left="567"/>
        <w:rPr>
          <w:rFonts w:ascii="Arial" w:hAnsi="Arial" w:cs="Arial"/>
          <w:sz w:val="24"/>
          <w:szCs w:val="24"/>
        </w:rPr>
      </w:pPr>
      <w:r>
        <w:rPr>
          <w:rFonts w:ascii="Arial" w:hAnsi="Arial" w:cs="Arial"/>
          <w:b/>
          <w:sz w:val="24"/>
          <w:szCs w:val="24"/>
        </w:rPr>
        <w:t>N.B.</w:t>
      </w:r>
      <w:r>
        <w:rPr>
          <w:rFonts w:ascii="Arial" w:hAnsi="Arial" w:cs="Arial"/>
          <w:b/>
          <w:sz w:val="24"/>
          <w:szCs w:val="24"/>
        </w:rPr>
        <w:tab/>
      </w:r>
      <w:r>
        <w:rPr>
          <w:rFonts w:ascii="Arial" w:hAnsi="Arial" w:cs="Arial"/>
          <w:sz w:val="24"/>
          <w:szCs w:val="24"/>
        </w:rPr>
        <w:t>These criteria will be reviewed regularly and changed with Member approval as the market conditions change.</w:t>
      </w:r>
    </w:p>
    <w:p w:rsidR="009759F2" w:rsidRDefault="009759F2" w:rsidP="00176633">
      <w:pPr>
        <w:pStyle w:val="ListParagraph"/>
        <w:numPr>
          <w:ilvl w:val="0"/>
          <w:numId w:val="2"/>
        </w:numPr>
        <w:ind w:left="567" w:hanging="567"/>
        <w:rPr>
          <w:rFonts w:ascii="Arial" w:hAnsi="Arial" w:cs="Arial"/>
          <w:b/>
          <w:sz w:val="24"/>
          <w:szCs w:val="24"/>
          <w:u w:val="single"/>
        </w:rPr>
      </w:pPr>
      <w:r w:rsidRPr="00176633">
        <w:rPr>
          <w:rFonts w:ascii="Arial" w:hAnsi="Arial" w:cs="Arial"/>
          <w:b/>
          <w:sz w:val="24"/>
          <w:szCs w:val="24"/>
          <w:u w:val="single"/>
        </w:rPr>
        <w:t>Financial Appraisal</w:t>
      </w:r>
    </w:p>
    <w:p w:rsidR="0059747D" w:rsidRPr="0059747D" w:rsidRDefault="0059747D" w:rsidP="0059747D">
      <w:pPr>
        <w:rPr>
          <w:rFonts w:ascii="Arial" w:hAnsi="Arial" w:cs="Arial"/>
          <w:sz w:val="24"/>
          <w:szCs w:val="24"/>
        </w:rPr>
      </w:pPr>
      <w:r w:rsidRPr="00A95263">
        <w:rPr>
          <w:rFonts w:ascii="Arial" w:hAnsi="Arial" w:cs="Arial"/>
          <w:sz w:val="24"/>
          <w:szCs w:val="24"/>
        </w:rPr>
        <w:t xml:space="preserve">A financial appraisal will be prepared for each </w:t>
      </w:r>
      <w:r>
        <w:rPr>
          <w:rFonts w:ascii="Arial" w:hAnsi="Arial" w:cs="Arial"/>
          <w:sz w:val="24"/>
          <w:szCs w:val="24"/>
        </w:rPr>
        <w:t xml:space="preserve">potential </w:t>
      </w:r>
      <w:r w:rsidRPr="00A95263">
        <w:rPr>
          <w:rFonts w:ascii="Arial" w:hAnsi="Arial" w:cs="Arial"/>
          <w:sz w:val="24"/>
          <w:szCs w:val="24"/>
        </w:rPr>
        <w:t xml:space="preserve">investment </w:t>
      </w:r>
      <w:r>
        <w:rPr>
          <w:rFonts w:ascii="Arial" w:hAnsi="Arial" w:cs="Arial"/>
          <w:sz w:val="24"/>
          <w:szCs w:val="24"/>
        </w:rPr>
        <w:t xml:space="preserve">by the Council’s external </w:t>
      </w:r>
      <w:r w:rsidR="00BC1E3B" w:rsidRPr="00BC1E3B">
        <w:rPr>
          <w:rFonts w:ascii="Arial" w:hAnsi="Arial" w:cs="Arial"/>
          <w:color w:val="FF0000"/>
          <w:sz w:val="24"/>
          <w:szCs w:val="24"/>
        </w:rPr>
        <w:t>I</w:t>
      </w:r>
      <w:r w:rsidRPr="00BC1E3B">
        <w:rPr>
          <w:rFonts w:ascii="Arial" w:hAnsi="Arial" w:cs="Arial"/>
          <w:color w:val="FF0000"/>
          <w:sz w:val="24"/>
          <w:szCs w:val="24"/>
        </w:rPr>
        <w:t xml:space="preserve">nvestment </w:t>
      </w:r>
      <w:r w:rsidR="00BC1E3B" w:rsidRPr="00BC1E3B">
        <w:rPr>
          <w:rFonts w:ascii="Arial" w:hAnsi="Arial" w:cs="Arial"/>
          <w:color w:val="FF0000"/>
          <w:sz w:val="24"/>
          <w:szCs w:val="24"/>
        </w:rPr>
        <w:t>A</w:t>
      </w:r>
      <w:r w:rsidRPr="00BC1E3B">
        <w:rPr>
          <w:rFonts w:ascii="Arial" w:hAnsi="Arial" w:cs="Arial"/>
          <w:color w:val="FF0000"/>
          <w:sz w:val="24"/>
          <w:szCs w:val="24"/>
        </w:rPr>
        <w:t>dviser</w:t>
      </w:r>
      <w:r>
        <w:rPr>
          <w:rFonts w:ascii="Arial" w:hAnsi="Arial" w:cs="Arial"/>
          <w:sz w:val="24"/>
          <w:szCs w:val="24"/>
        </w:rPr>
        <w:t>. This report will look at and consider the criteria listed above and how that potential investment meets those criteria.</w:t>
      </w:r>
      <w:r w:rsidR="00957DDB">
        <w:rPr>
          <w:rFonts w:ascii="Arial" w:hAnsi="Arial" w:cs="Arial"/>
          <w:sz w:val="24"/>
          <w:szCs w:val="24"/>
        </w:rPr>
        <w:t xml:space="preserve"> Attached at appendix A is a summary </w:t>
      </w:r>
      <w:proofErr w:type="spellStart"/>
      <w:r w:rsidR="00957DDB">
        <w:rPr>
          <w:rFonts w:ascii="Arial" w:hAnsi="Arial" w:cs="Arial"/>
          <w:sz w:val="24"/>
          <w:szCs w:val="24"/>
        </w:rPr>
        <w:t>proforma</w:t>
      </w:r>
      <w:proofErr w:type="spellEnd"/>
      <w:r w:rsidR="00957DDB">
        <w:rPr>
          <w:rFonts w:ascii="Arial" w:hAnsi="Arial" w:cs="Arial"/>
          <w:sz w:val="24"/>
          <w:szCs w:val="24"/>
        </w:rPr>
        <w:t xml:space="preserve"> that will support any proposal.</w:t>
      </w:r>
    </w:p>
    <w:p w:rsidR="0059747D" w:rsidRDefault="0059747D" w:rsidP="00176633">
      <w:pPr>
        <w:pStyle w:val="ListParagraph"/>
        <w:numPr>
          <w:ilvl w:val="0"/>
          <w:numId w:val="2"/>
        </w:numPr>
        <w:ind w:left="567" w:hanging="567"/>
        <w:rPr>
          <w:rFonts w:ascii="Arial" w:hAnsi="Arial" w:cs="Arial"/>
          <w:b/>
          <w:sz w:val="24"/>
          <w:szCs w:val="24"/>
          <w:u w:val="single"/>
        </w:rPr>
      </w:pPr>
      <w:r>
        <w:rPr>
          <w:rFonts w:ascii="Arial" w:hAnsi="Arial" w:cs="Arial"/>
          <w:b/>
          <w:sz w:val="24"/>
          <w:szCs w:val="24"/>
          <w:u w:val="single"/>
        </w:rPr>
        <w:t>Approval Process</w:t>
      </w:r>
    </w:p>
    <w:p w:rsidR="0059747D" w:rsidRDefault="0059747D" w:rsidP="0059747D">
      <w:pPr>
        <w:pStyle w:val="ListParagraph"/>
        <w:ind w:left="0"/>
        <w:rPr>
          <w:rFonts w:ascii="Arial" w:hAnsi="Arial" w:cs="Arial"/>
          <w:sz w:val="24"/>
          <w:szCs w:val="24"/>
        </w:rPr>
      </w:pPr>
    </w:p>
    <w:p w:rsidR="0059747D" w:rsidRDefault="0059747D" w:rsidP="0059747D">
      <w:pPr>
        <w:pStyle w:val="ListParagraph"/>
        <w:ind w:left="0"/>
        <w:rPr>
          <w:rFonts w:ascii="Arial" w:hAnsi="Arial" w:cs="Arial"/>
          <w:color w:val="FF0000"/>
          <w:sz w:val="24"/>
          <w:szCs w:val="24"/>
        </w:rPr>
      </w:pPr>
      <w:r>
        <w:rPr>
          <w:rFonts w:ascii="Arial" w:hAnsi="Arial" w:cs="Arial"/>
          <w:sz w:val="24"/>
          <w:szCs w:val="24"/>
        </w:rPr>
        <w:t xml:space="preserve">The appraisal of any potential investment will be reviewed in the first instance by the Council’s Corporate Property Officer, Section 151 Officer and Monitoring Officer. The report will then be presented </w:t>
      </w:r>
      <w:r w:rsidR="00A72F75">
        <w:rPr>
          <w:rFonts w:ascii="Arial" w:hAnsi="Arial" w:cs="Arial"/>
          <w:color w:val="FF0000"/>
          <w:sz w:val="24"/>
          <w:szCs w:val="24"/>
        </w:rPr>
        <w:t>to Cabinet for approval to proceed.</w:t>
      </w:r>
    </w:p>
    <w:p w:rsidR="0059747D" w:rsidRPr="0059747D" w:rsidRDefault="0059747D" w:rsidP="0059747D">
      <w:pPr>
        <w:pStyle w:val="ListParagraph"/>
        <w:ind w:left="0"/>
        <w:rPr>
          <w:rFonts w:ascii="Arial" w:hAnsi="Arial" w:cs="Arial"/>
          <w:color w:val="FF0000"/>
          <w:sz w:val="24"/>
          <w:szCs w:val="24"/>
        </w:rPr>
      </w:pPr>
    </w:p>
    <w:p w:rsidR="003D3321" w:rsidRDefault="003D3321" w:rsidP="0004437E">
      <w:pPr>
        <w:pStyle w:val="ListParagraph"/>
        <w:numPr>
          <w:ilvl w:val="0"/>
          <w:numId w:val="2"/>
        </w:numPr>
        <w:ind w:left="567" w:hanging="567"/>
        <w:rPr>
          <w:rFonts w:ascii="Arial" w:hAnsi="Arial" w:cs="Arial"/>
          <w:b/>
          <w:sz w:val="24"/>
          <w:szCs w:val="24"/>
          <w:u w:val="single"/>
        </w:rPr>
      </w:pPr>
      <w:r w:rsidRPr="0004437E">
        <w:rPr>
          <w:rFonts w:ascii="Arial" w:hAnsi="Arial" w:cs="Arial"/>
          <w:b/>
          <w:sz w:val="24"/>
          <w:szCs w:val="24"/>
          <w:u w:val="single"/>
        </w:rPr>
        <w:t>Due diligence checks</w:t>
      </w:r>
    </w:p>
    <w:p w:rsidR="00A72F75" w:rsidRDefault="00A72F75" w:rsidP="00A72F75">
      <w:pPr>
        <w:rPr>
          <w:rFonts w:ascii="Arial" w:hAnsi="Arial" w:cs="Arial"/>
          <w:sz w:val="24"/>
          <w:szCs w:val="24"/>
        </w:rPr>
      </w:pPr>
      <w:r w:rsidRPr="00A95263">
        <w:rPr>
          <w:rFonts w:ascii="Arial" w:hAnsi="Arial" w:cs="Arial"/>
          <w:sz w:val="24"/>
          <w:szCs w:val="24"/>
        </w:rPr>
        <w:t xml:space="preserve">As part of the physical appraisal, due diligence checks will be undertaken prior to purchase to include financial checks, and physical condition checks including building surveys and measured survey (if necessary). </w:t>
      </w:r>
      <w:r>
        <w:rPr>
          <w:rFonts w:ascii="Arial" w:hAnsi="Arial" w:cs="Arial"/>
          <w:sz w:val="24"/>
          <w:szCs w:val="24"/>
        </w:rPr>
        <w:t>T</w:t>
      </w:r>
      <w:r w:rsidRPr="00A95263">
        <w:rPr>
          <w:rFonts w:ascii="Arial" w:hAnsi="Arial" w:cs="Arial"/>
          <w:sz w:val="24"/>
          <w:szCs w:val="24"/>
        </w:rPr>
        <w:t>he property will be assessed in terms of the condition visually</w:t>
      </w:r>
      <w:r>
        <w:rPr>
          <w:rFonts w:ascii="Arial" w:hAnsi="Arial" w:cs="Arial"/>
          <w:sz w:val="24"/>
          <w:szCs w:val="24"/>
        </w:rPr>
        <w:t>.</w:t>
      </w:r>
      <w:r w:rsidRPr="00A95263">
        <w:rPr>
          <w:rFonts w:ascii="Arial" w:hAnsi="Arial" w:cs="Arial"/>
          <w:sz w:val="24"/>
          <w:szCs w:val="24"/>
        </w:rPr>
        <w:t xml:space="preserve"> A Building Condition survey will be undertaken.  Legal title checks will be undertaken prior to purchase, and good clean title will be sought.</w:t>
      </w:r>
    </w:p>
    <w:p w:rsidR="00957DDB" w:rsidRDefault="00A72F75" w:rsidP="00A72F75">
      <w:pPr>
        <w:rPr>
          <w:rFonts w:ascii="Arial" w:hAnsi="Arial" w:cs="Arial"/>
          <w:b/>
          <w:sz w:val="24"/>
          <w:szCs w:val="24"/>
          <w:u w:val="single"/>
        </w:rPr>
      </w:pPr>
      <w:r>
        <w:rPr>
          <w:rFonts w:ascii="Arial" w:hAnsi="Arial" w:cs="Arial"/>
          <w:sz w:val="24"/>
          <w:szCs w:val="24"/>
        </w:rPr>
        <w:t>T</w:t>
      </w:r>
      <w:r w:rsidRPr="00A95263">
        <w:rPr>
          <w:rFonts w:ascii="Arial" w:hAnsi="Arial" w:cs="Arial"/>
          <w:sz w:val="24"/>
          <w:szCs w:val="24"/>
        </w:rPr>
        <w:t>here will be no requirement for full structural mechanical and electrical surveys</w:t>
      </w:r>
      <w:r>
        <w:rPr>
          <w:rFonts w:ascii="Arial" w:hAnsi="Arial" w:cs="Arial"/>
          <w:sz w:val="24"/>
          <w:szCs w:val="24"/>
        </w:rPr>
        <w:t xml:space="preserve"> </w:t>
      </w:r>
      <w:r w:rsidRPr="00A95263">
        <w:rPr>
          <w:rFonts w:ascii="Arial" w:hAnsi="Arial" w:cs="Arial"/>
          <w:sz w:val="24"/>
          <w:szCs w:val="24"/>
        </w:rPr>
        <w:t>unless there is cause for concern as to the condition</w:t>
      </w:r>
    </w:p>
    <w:p w:rsidR="00DB63E2" w:rsidRPr="00A72F75" w:rsidRDefault="004A4362" w:rsidP="00957DDB">
      <w:pPr>
        <w:pStyle w:val="ListParagraph"/>
        <w:numPr>
          <w:ilvl w:val="0"/>
          <w:numId w:val="2"/>
        </w:numPr>
        <w:ind w:left="567" w:hanging="567"/>
        <w:rPr>
          <w:rFonts w:ascii="Arial" w:hAnsi="Arial" w:cs="Arial"/>
          <w:b/>
          <w:sz w:val="24"/>
          <w:szCs w:val="24"/>
          <w:u w:val="single"/>
        </w:rPr>
      </w:pPr>
      <w:r w:rsidRPr="00A72F75">
        <w:rPr>
          <w:rFonts w:ascii="Arial" w:hAnsi="Arial" w:cs="Arial"/>
          <w:sz w:val="24"/>
          <w:szCs w:val="24"/>
        </w:rPr>
        <w:t xml:space="preserve"> </w:t>
      </w:r>
      <w:r w:rsidR="00DB63E2" w:rsidRPr="00A72F75">
        <w:rPr>
          <w:rFonts w:ascii="Arial" w:hAnsi="Arial" w:cs="Arial"/>
          <w:b/>
          <w:sz w:val="24"/>
          <w:szCs w:val="24"/>
          <w:u w:val="single"/>
        </w:rPr>
        <w:t>Continual appraisal</w:t>
      </w:r>
    </w:p>
    <w:p w:rsidR="00DB63E2" w:rsidRDefault="00DB63E2" w:rsidP="00DB63E2">
      <w:pPr>
        <w:rPr>
          <w:rFonts w:ascii="Arial" w:hAnsi="Arial" w:cs="Arial"/>
          <w:sz w:val="24"/>
          <w:szCs w:val="24"/>
        </w:rPr>
      </w:pPr>
      <w:r w:rsidRPr="00A95263">
        <w:rPr>
          <w:rFonts w:ascii="Arial" w:hAnsi="Arial" w:cs="Arial"/>
          <w:sz w:val="24"/>
          <w:szCs w:val="24"/>
        </w:rPr>
        <w:t>The portfolio will be open to continual appraisal (including consideration of the tenant status and management issues), and on-going financial performance measurement.  This will help in future decision making in terms of whether to sell or hold the investment in order to minimise risk.</w:t>
      </w:r>
    </w:p>
    <w:p w:rsidR="00866351" w:rsidRPr="0004437E" w:rsidRDefault="00866351" w:rsidP="0004437E">
      <w:pPr>
        <w:pStyle w:val="ListParagraph"/>
        <w:numPr>
          <w:ilvl w:val="0"/>
          <w:numId w:val="2"/>
        </w:numPr>
        <w:ind w:hanging="720"/>
        <w:rPr>
          <w:rFonts w:ascii="Arial" w:hAnsi="Arial" w:cs="Arial"/>
          <w:b/>
          <w:sz w:val="24"/>
          <w:szCs w:val="24"/>
          <w:u w:val="single"/>
        </w:rPr>
      </w:pPr>
      <w:r w:rsidRPr="0004437E">
        <w:rPr>
          <w:rFonts w:ascii="Arial" w:hAnsi="Arial" w:cs="Arial"/>
          <w:b/>
          <w:sz w:val="24"/>
          <w:szCs w:val="24"/>
          <w:u w:val="single"/>
        </w:rPr>
        <w:t>Management of new assets</w:t>
      </w:r>
    </w:p>
    <w:p w:rsidR="00866351" w:rsidRDefault="00866351" w:rsidP="00244AB1">
      <w:pPr>
        <w:rPr>
          <w:rFonts w:ascii="Arial" w:hAnsi="Arial" w:cs="Arial"/>
          <w:sz w:val="24"/>
          <w:szCs w:val="24"/>
        </w:rPr>
      </w:pPr>
      <w:r w:rsidRPr="00A95263">
        <w:rPr>
          <w:rFonts w:ascii="Arial" w:hAnsi="Arial" w:cs="Arial"/>
          <w:sz w:val="24"/>
          <w:szCs w:val="24"/>
        </w:rPr>
        <w:t>The Council already has in place an Estates team which manages the current non-operational property portfolio and would, unless geographical location would limit is ability, be able to manage a larger property portfolio to include the investment portfolio.</w:t>
      </w:r>
      <w:r w:rsidR="00073F34">
        <w:rPr>
          <w:rFonts w:ascii="Arial" w:hAnsi="Arial" w:cs="Arial"/>
          <w:sz w:val="24"/>
          <w:szCs w:val="24"/>
        </w:rPr>
        <w:t xml:space="preserve"> </w:t>
      </w:r>
    </w:p>
    <w:p w:rsidR="0080729B" w:rsidRDefault="0080729B">
      <w:pPr>
        <w:rPr>
          <w:rFonts w:ascii="Arial" w:hAnsi="Arial" w:cs="Arial"/>
          <w:sz w:val="24"/>
          <w:szCs w:val="24"/>
        </w:rPr>
      </w:pPr>
      <w:r>
        <w:rPr>
          <w:rFonts w:ascii="Arial" w:hAnsi="Arial" w:cs="Arial"/>
          <w:sz w:val="24"/>
          <w:szCs w:val="24"/>
        </w:rPr>
        <w:br w:type="page"/>
      </w:r>
    </w:p>
    <w:p w:rsidR="0080729B" w:rsidRPr="00060403" w:rsidRDefault="0080729B" w:rsidP="0080729B">
      <w:r>
        <w:lastRenderedPageBreak/>
        <w:tab/>
      </w:r>
      <w:r>
        <w:tab/>
      </w:r>
      <w:r>
        <w:tab/>
      </w:r>
      <w:r>
        <w:tab/>
      </w:r>
      <w:r>
        <w:tab/>
      </w:r>
      <w:r>
        <w:tab/>
      </w:r>
      <w:r>
        <w:tab/>
      </w:r>
      <w:r>
        <w:tab/>
      </w:r>
      <w:r>
        <w:tab/>
      </w:r>
      <w:r>
        <w:tab/>
      </w:r>
      <w:r w:rsidRPr="00060403">
        <w:rPr>
          <w:rFonts w:ascii="Arial" w:hAnsi="Arial" w:cs="Arial"/>
          <w:b/>
          <w:sz w:val="24"/>
          <w:szCs w:val="24"/>
        </w:rPr>
        <w:t>Appendix A</w:t>
      </w:r>
    </w:p>
    <w:tbl>
      <w:tblPr>
        <w:tblStyle w:val="TableGrid"/>
        <w:tblW w:w="0" w:type="auto"/>
        <w:tblLook w:val="04A0" w:firstRow="1" w:lastRow="0" w:firstColumn="1" w:lastColumn="0" w:noHBand="0" w:noVBand="1"/>
      </w:tblPr>
      <w:tblGrid>
        <w:gridCol w:w="1668"/>
        <w:gridCol w:w="3674"/>
        <w:gridCol w:w="2119"/>
        <w:gridCol w:w="1555"/>
      </w:tblGrid>
      <w:tr w:rsidR="0080729B" w:rsidRPr="000F2014" w:rsidTr="006478E4">
        <w:tc>
          <w:tcPr>
            <w:tcW w:w="1668" w:type="dxa"/>
          </w:tcPr>
          <w:p w:rsidR="0080729B" w:rsidRPr="000F2014" w:rsidRDefault="0080729B" w:rsidP="006478E4">
            <w:pPr>
              <w:rPr>
                <w:rFonts w:ascii="Arial" w:hAnsi="Arial" w:cs="Arial"/>
                <w:b/>
              </w:rPr>
            </w:pPr>
            <w:r>
              <w:br w:type="page"/>
            </w:r>
            <w:r>
              <w:br w:type="page"/>
            </w:r>
          </w:p>
        </w:tc>
        <w:tc>
          <w:tcPr>
            <w:tcW w:w="7348" w:type="dxa"/>
            <w:gridSpan w:val="3"/>
          </w:tcPr>
          <w:p w:rsidR="0080729B" w:rsidRPr="000F2014" w:rsidRDefault="0080729B" w:rsidP="006478E4">
            <w:pPr>
              <w:rPr>
                <w:rFonts w:ascii="Arial" w:hAnsi="Arial" w:cs="Arial"/>
                <w:b/>
                <w:color w:val="4F81BD" w:themeColor="accent1"/>
                <w:sz w:val="28"/>
                <w:szCs w:val="28"/>
              </w:rPr>
            </w:pPr>
            <w:r w:rsidRPr="000F2014">
              <w:rPr>
                <w:rFonts w:ascii="Arial" w:hAnsi="Arial" w:cs="Arial"/>
                <w:b/>
                <w:sz w:val="28"/>
                <w:szCs w:val="28"/>
              </w:rPr>
              <w:t xml:space="preserve">Property Investment Strategy Acquisition </w:t>
            </w:r>
          </w:p>
        </w:tc>
      </w:tr>
      <w:tr w:rsidR="0080729B" w:rsidRPr="000F2014" w:rsidTr="006478E4">
        <w:trPr>
          <w:trHeight w:val="169"/>
        </w:trPr>
        <w:tc>
          <w:tcPr>
            <w:tcW w:w="1668" w:type="dxa"/>
            <w:vMerge w:val="restart"/>
          </w:tcPr>
          <w:p w:rsidR="0080729B" w:rsidRPr="004C1DF3" w:rsidRDefault="0080729B" w:rsidP="006478E4">
            <w:pPr>
              <w:rPr>
                <w:rFonts w:ascii="Arial" w:hAnsi="Arial" w:cs="Arial"/>
                <w:b/>
                <w:color w:val="FF0000"/>
              </w:rPr>
            </w:pPr>
            <w:r w:rsidRPr="004C1DF3">
              <w:rPr>
                <w:rFonts w:ascii="Arial" w:hAnsi="Arial" w:cs="Arial"/>
                <w:b/>
              </w:rPr>
              <w:t>Approvals</w:t>
            </w:r>
          </w:p>
        </w:tc>
        <w:tc>
          <w:tcPr>
            <w:tcW w:w="3674" w:type="dxa"/>
            <w:vMerge w:val="restart"/>
          </w:tcPr>
          <w:p w:rsidR="0080729B" w:rsidRDefault="0080729B" w:rsidP="006478E4">
            <w:pPr>
              <w:rPr>
                <w:rFonts w:ascii="Arial" w:hAnsi="Arial" w:cs="Arial"/>
                <w:b/>
              </w:rPr>
            </w:pPr>
            <w:r w:rsidRPr="004C1DF3">
              <w:rPr>
                <w:rFonts w:ascii="Arial" w:hAnsi="Arial" w:cs="Arial"/>
                <w:b/>
              </w:rPr>
              <w:t>Cabinet</w:t>
            </w:r>
          </w:p>
          <w:p w:rsidR="0080729B" w:rsidRPr="004C1DF3" w:rsidRDefault="0080729B" w:rsidP="006478E4">
            <w:pPr>
              <w:rPr>
                <w:rFonts w:ascii="Arial" w:hAnsi="Arial" w:cs="Arial"/>
                <w:b/>
              </w:rPr>
            </w:pPr>
          </w:p>
          <w:p w:rsidR="0080729B" w:rsidRDefault="0080729B" w:rsidP="006478E4">
            <w:pPr>
              <w:rPr>
                <w:rFonts w:ascii="Arial" w:hAnsi="Arial" w:cs="Arial"/>
              </w:rPr>
            </w:pPr>
          </w:p>
          <w:p w:rsidR="0080729B" w:rsidRPr="004C1DF3" w:rsidRDefault="0080729B" w:rsidP="006478E4">
            <w:pPr>
              <w:rPr>
                <w:rFonts w:ascii="Arial" w:hAnsi="Arial" w:cs="Arial"/>
                <w:b/>
                <w:color w:val="4F81BD" w:themeColor="accent1"/>
              </w:rPr>
            </w:pPr>
            <w:r w:rsidRPr="004C1DF3">
              <w:rPr>
                <w:rFonts w:ascii="Arial" w:hAnsi="Arial" w:cs="Arial"/>
                <w:b/>
              </w:rPr>
              <w:t>Date of Meeting:</w:t>
            </w:r>
          </w:p>
        </w:tc>
        <w:tc>
          <w:tcPr>
            <w:tcW w:w="3674" w:type="dxa"/>
            <w:gridSpan w:val="2"/>
          </w:tcPr>
          <w:p w:rsidR="0080729B" w:rsidRPr="000F2014" w:rsidRDefault="00696809" w:rsidP="006478E4">
            <w:pPr>
              <w:rPr>
                <w:rFonts w:ascii="Arial" w:hAnsi="Arial" w:cs="Arial"/>
              </w:rPr>
            </w:pPr>
            <w:r>
              <w:rPr>
                <w:rFonts w:ascii="Arial" w:hAnsi="Arial" w:cs="Arial"/>
              </w:rPr>
              <w:t>Corporate Property Officer</w:t>
            </w:r>
            <w:r w:rsidR="0080729B" w:rsidRPr="000F2014">
              <w:rPr>
                <w:rFonts w:ascii="Arial" w:hAnsi="Arial" w:cs="Arial"/>
              </w:rPr>
              <w:t xml:space="preserve">                                      Yes/No</w:t>
            </w:r>
          </w:p>
          <w:p w:rsidR="0080729B" w:rsidRPr="000F2014" w:rsidRDefault="0080729B" w:rsidP="006478E4">
            <w:pPr>
              <w:rPr>
                <w:rFonts w:ascii="Arial" w:hAnsi="Arial" w:cs="Arial"/>
              </w:rPr>
            </w:pPr>
            <w:r w:rsidRPr="000F2014">
              <w:rPr>
                <w:rFonts w:ascii="Arial" w:hAnsi="Arial" w:cs="Arial"/>
              </w:rPr>
              <w:t>Date of consultation:</w:t>
            </w:r>
          </w:p>
          <w:p w:rsidR="0080729B" w:rsidRPr="000F2014" w:rsidRDefault="0080729B" w:rsidP="006478E4">
            <w:pPr>
              <w:rPr>
                <w:rFonts w:ascii="Arial" w:hAnsi="Arial" w:cs="Arial"/>
              </w:rPr>
            </w:pPr>
          </w:p>
        </w:tc>
      </w:tr>
      <w:tr w:rsidR="0080729B" w:rsidRPr="000F2014" w:rsidTr="006478E4">
        <w:trPr>
          <w:trHeight w:val="169"/>
        </w:trPr>
        <w:tc>
          <w:tcPr>
            <w:tcW w:w="1668" w:type="dxa"/>
            <w:vMerge/>
          </w:tcPr>
          <w:p w:rsidR="0080729B" w:rsidRPr="000F2014" w:rsidRDefault="0080729B" w:rsidP="006478E4">
            <w:pPr>
              <w:rPr>
                <w:rFonts w:ascii="Arial" w:hAnsi="Arial" w:cs="Arial"/>
              </w:rPr>
            </w:pPr>
          </w:p>
        </w:tc>
        <w:tc>
          <w:tcPr>
            <w:tcW w:w="3674" w:type="dxa"/>
            <w:vMerge/>
          </w:tcPr>
          <w:p w:rsidR="0080729B" w:rsidRPr="000F2014" w:rsidRDefault="0080729B" w:rsidP="006478E4">
            <w:pPr>
              <w:rPr>
                <w:rFonts w:ascii="Arial" w:hAnsi="Arial" w:cs="Arial"/>
                <w:color w:val="4F81BD" w:themeColor="accent1"/>
              </w:rPr>
            </w:pPr>
          </w:p>
        </w:tc>
        <w:tc>
          <w:tcPr>
            <w:tcW w:w="3674" w:type="dxa"/>
            <w:gridSpan w:val="2"/>
          </w:tcPr>
          <w:p w:rsidR="0080729B" w:rsidRPr="000F2014" w:rsidRDefault="0080729B" w:rsidP="006478E4">
            <w:pPr>
              <w:rPr>
                <w:rFonts w:ascii="Arial" w:hAnsi="Arial" w:cs="Arial"/>
              </w:rPr>
            </w:pPr>
            <w:r>
              <w:rPr>
                <w:rFonts w:ascii="Arial" w:hAnsi="Arial" w:cs="Arial"/>
              </w:rPr>
              <w:t>Monitoring Officer</w:t>
            </w:r>
          </w:p>
          <w:p w:rsidR="0080729B" w:rsidRPr="000F2014" w:rsidRDefault="0080729B" w:rsidP="006478E4">
            <w:pPr>
              <w:rPr>
                <w:rFonts w:ascii="Arial" w:hAnsi="Arial" w:cs="Arial"/>
              </w:rPr>
            </w:pPr>
            <w:r w:rsidRPr="000F2014">
              <w:rPr>
                <w:rFonts w:ascii="Arial" w:hAnsi="Arial" w:cs="Arial"/>
              </w:rPr>
              <w:t>Yes/No</w:t>
            </w:r>
          </w:p>
          <w:p w:rsidR="0080729B" w:rsidRPr="000F2014" w:rsidRDefault="0080729B" w:rsidP="006478E4">
            <w:pPr>
              <w:rPr>
                <w:rFonts w:ascii="Arial" w:hAnsi="Arial" w:cs="Arial"/>
              </w:rPr>
            </w:pPr>
            <w:r w:rsidRPr="000F2014">
              <w:rPr>
                <w:rFonts w:ascii="Arial" w:hAnsi="Arial" w:cs="Arial"/>
              </w:rPr>
              <w:t>Date of consultation :</w:t>
            </w:r>
          </w:p>
        </w:tc>
      </w:tr>
      <w:tr w:rsidR="0080729B" w:rsidRPr="000F2014" w:rsidTr="006478E4">
        <w:trPr>
          <w:trHeight w:val="169"/>
        </w:trPr>
        <w:tc>
          <w:tcPr>
            <w:tcW w:w="1668" w:type="dxa"/>
            <w:vMerge/>
          </w:tcPr>
          <w:p w:rsidR="0080729B" w:rsidRPr="000F2014" w:rsidRDefault="0080729B" w:rsidP="006478E4">
            <w:pPr>
              <w:rPr>
                <w:rFonts w:ascii="Arial" w:hAnsi="Arial" w:cs="Arial"/>
              </w:rPr>
            </w:pPr>
          </w:p>
        </w:tc>
        <w:tc>
          <w:tcPr>
            <w:tcW w:w="3674" w:type="dxa"/>
            <w:vMerge/>
          </w:tcPr>
          <w:p w:rsidR="0080729B" w:rsidRPr="000F2014" w:rsidRDefault="0080729B" w:rsidP="006478E4">
            <w:pPr>
              <w:rPr>
                <w:rFonts w:ascii="Arial" w:hAnsi="Arial" w:cs="Arial"/>
                <w:color w:val="4F81BD" w:themeColor="accent1"/>
              </w:rPr>
            </w:pPr>
          </w:p>
        </w:tc>
        <w:tc>
          <w:tcPr>
            <w:tcW w:w="3674" w:type="dxa"/>
            <w:gridSpan w:val="2"/>
          </w:tcPr>
          <w:p w:rsidR="0080729B" w:rsidRPr="000F2014" w:rsidRDefault="0080729B" w:rsidP="006478E4">
            <w:pPr>
              <w:rPr>
                <w:rFonts w:ascii="Arial" w:hAnsi="Arial" w:cs="Arial"/>
              </w:rPr>
            </w:pPr>
            <w:r>
              <w:rPr>
                <w:rFonts w:ascii="Arial" w:hAnsi="Arial" w:cs="Arial"/>
              </w:rPr>
              <w:t>Section 151 Officer</w:t>
            </w:r>
          </w:p>
          <w:p w:rsidR="0080729B" w:rsidRPr="000F2014" w:rsidRDefault="0080729B" w:rsidP="006478E4">
            <w:pPr>
              <w:rPr>
                <w:rFonts w:ascii="Arial" w:hAnsi="Arial" w:cs="Arial"/>
              </w:rPr>
            </w:pPr>
            <w:r w:rsidRPr="000F2014">
              <w:rPr>
                <w:rFonts w:ascii="Arial" w:hAnsi="Arial" w:cs="Arial"/>
              </w:rPr>
              <w:t>Yes/No</w:t>
            </w:r>
          </w:p>
          <w:p w:rsidR="0080729B" w:rsidRPr="000F2014" w:rsidRDefault="0080729B" w:rsidP="006478E4">
            <w:pPr>
              <w:rPr>
                <w:rFonts w:ascii="Arial" w:hAnsi="Arial" w:cs="Arial"/>
                <w:color w:val="4F81BD" w:themeColor="accent1"/>
              </w:rPr>
            </w:pPr>
            <w:r w:rsidRPr="000F2014">
              <w:rPr>
                <w:rFonts w:ascii="Arial" w:hAnsi="Arial" w:cs="Arial"/>
              </w:rPr>
              <w:t>Date of consultation :</w:t>
            </w:r>
          </w:p>
        </w:tc>
      </w:tr>
      <w:tr w:rsidR="0080729B" w:rsidRPr="000F2014" w:rsidTr="006478E4">
        <w:trPr>
          <w:trHeight w:val="169"/>
        </w:trPr>
        <w:tc>
          <w:tcPr>
            <w:tcW w:w="9016" w:type="dxa"/>
            <w:gridSpan w:val="4"/>
          </w:tcPr>
          <w:p w:rsidR="0080729B" w:rsidRPr="000F2014" w:rsidRDefault="0080729B" w:rsidP="006478E4">
            <w:pPr>
              <w:rPr>
                <w:rFonts w:ascii="Arial" w:hAnsi="Arial" w:cs="Arial"/>
                <w:b/>
                <w:sz w:val="28"/>
                <w:szCs w:val="28"/>
              </w:rPr>
            </w:pPr>
            <w:r w:rsidRPr="000F2014">
              <w:rPr>
                <w:rFonts w:ascii="Arial" w:hAnsi="Arial" w:cs="Arial"/>
                <w:b/>
                <w:sz w:val="28"/>
                <w:szCs w:val="28"/>
              </w:rPr>
              <w:t xml:space="preserve">Details of the Proposal </w:t>
            </w:r>
          </w:p>
        </w:tc>
      </w:tr>
      <w:tr w:rsidR="0080729B" w:rsidRPr="000F2014" w:rsidTr="006478E4">
        <w:tc>
          <w:tcPr>
            <w:tcW w:w="1668" w:type="dxa"/>
          </w:tcPr>
          <w:p w:rsidR="0080729B" w:rsidRPr="000F2014" w:rsidRDefault="0080729B" w:rsidP="006478E4">
            <w:pPr>
              <w:rPr>
                <w:rFonts w:ascii="Arial" w:hAnsi="Arial" w:cs="Arial"/>
              </w:rPr>
            </w:pPr>
            <w:r w:rsidRPr="000F2014">
              <w:rPr>
                <w:rFonts w:ascii="Arial" w:hAnsi="Arial" w:cs="Arial"/>
              </w:rPr>
              <w:t>Property Description including floor area</w:t>
            </w:r>
          </w:p>
        </w:tc>
        <w:tc>
          <w:tcPr>
            <w:tcW w:w="7348" w:type="dxa"/>
            <w:gridSpan w:val="3"/>
          </w:tcPr>
          <w:p w:rsidR="0080729B" w:rsidRDefault="0080729B" w:rsidP="006478E4">
            <w:pPr>
              <w:rPr>
                <w:rFonts w:ascii="Arial" w:hAnsi="Arial" w:cs="Arial"/>
                <w:color w:val="4F81BD" w:themeColor="accent1"/>
              </w:rPr>
            </w:pPr>
          </w:p>
          <w:p w:rsidR="0080729B" w:rsidRDefault="0080729B" w:rsidP="006478E4">
            <w:pPr>
              <w:rPr>
                <w:rFonts w:ascii="Arial" w:hAnsi="Arial" w:cs="Arial"/>
                <w:color w:val="4F81BD" w:themeColor="accent1"/>
              </w:rPr>
            </w:pPr>
          </w:p>
          <w:p w:rsidR="0080729B" w:rsidRDefault="0080729B" w:rsidP="006478E4">
            <w:pPr>
              <w:rPr>
                <w:rFonts w:ascii="Arial" w:hAnsi="Arial" w:cs="Arial"/>
                <w:color w:val="4F81BD" w:themeColor="accent1"/>
              </w:rPr>
            </w:pPr>
          </w:p>
          <w:p w:rsidR="0080729B" w:rsidRDefault="0080729B" w:rsidP="006478E4">
            <w:pPr>
              <w:rPr>
                <w:rFonts w:ascii="Arial" w:hAnsi="Arial" w:cs="Arial"/>
                <w:color w:val="4F81BD" w:themeColor="accent1"/>
              </w:rPr>
            </w:pPr>
          </w:p>
          <w:p w:rsidR="0080729B" w:rsidRDefault="0080729B" w:rsidP="006478E4">
            <w:pPr>
              <w:rPr>
                <w:rFonts w:ascii="Arial" w:hAnsi="Arial" w:cs="Arial"/>
                <w:color w:val="4F81BD" w:themeColor="accent1"/>
              </w:rPr>
            </w:pPr>
          </w:p>
          <w:p w:rsidR="0080729B" w:rsidRDefault="0080729B" w:rsidP="006478E4">
            <w:pPr>
              <w:rPr>
                <w:rFonts w:ascii="Arial" w:hAnsi="Arial" w:cs="Arial"/>
                <w:color w:val="4F81BD" w:themeColor="accent1"/>
              </w:rPr>
            </w:pPr>
          </w:p>
          <w:p w:rsidR="0080729B" w:rsidRPr="000F2014" w:rsidRDefault="0080729B" w:rsidP="006478E4">
            <w:pPr>
              <w:rPr>
                <w:rFonts w:ascii="Arial" w:hAnsi="Arial" w:cs="Arial"/>
                <w:color w:val="4F81BD" w:themeColor="accent1"/>
              </w:rPr>
            </w:pPr>
          </w:p>
        </w:tc>
      </w:tr>
      <w:tr w:rsidR="0080729B" w:rsidRPr="000F2014" w:rsidTr="006478E4">
        <w:tc>
          <w:tcPr>
            <w:tcW w:w="1668" w:type="dxa"/>
          </w:tcPr>
          <w:p w:rsidR="0080729B" w:rsidRPr="000F2014" w:rsidRDefault="0080729B" w:rsidP="006478E4">
            <w:pPr>
              <w:rPr>
                <w:rFonts w:ascii="Arial" w:hAnsi="Arial" w:cs="Arial"/>
              </w:rPr>
            </w:pPr>
            <w:r w:rsidRPr="000F2014">
              <w:rPr>
                <w:rFonts w:ascii="Arial" w:hAnsi="Arial" w:cs="Arial"/>
              </w:rPr>
              <w:t>Age</w:t>
            </w:r>
          </w:p>
        </w:tc>
        <w:tc>
          <w:tcPr>
            <w:tcW w:w="7348" w:type="dxa"/>
            <w:gridSpan w:val="3"/>
          </w:tcPr>
          <w:p w:rsidR="0080729B" w:rsidRDefault="0080729B" w:rsidP="006478E4">
            <w:pPr>
              <w:rPr>
                <w:rFonts w:ascii="Arial" w:hAnsi="Arial" w:cs="Arial"/>
                <w:color w:val="4F81BD" w:themeColor="accent1"/>
              </w:rPr>
            </w:pPr>
          </w:p>
          <w:p w:rsidR="0080729B" w:rsidRPr="000F2014" w:rsidRDefault="0080729B" w:rsidP="006478E4">
            <w:pPr>
              <w:rPr>
                <w:rFonts w:ascii="Arial" w:hAnsi="Arial" w:cs="Arial"/>
                <w:color w:val="4F81BD" w:themeColor="accent1"/>
              </w:rPr>
            </w:pPr>
          </w:p>
        </w:tc>
      </w:tr>
      <w:tr w:rsidR="0080729B" w:rsidRPr="000F2014" w:rsidTr="006478E4">
        <w:tc>
          <w:tcPr>
            <w:tcW w:w="1668" w:type="dxa"/>
          </w:tcPr>
          <w:p w:rsidR="0080729B" w:rsidRPr="000F2014" w:rsidRDefault="0080729B" w:rsidP="006478E4">
            <w:pPr>
              <w:rPr>
                <w:rFonts w:ascii="Arial" w:hAnsi="Arial" w:cs="Arial"/>
              </w:rPr>
            </w:pPr>
            <w:r w:rsidRPr="000F2014">
              <w:rPr>
                <w:rFonts w:ascii="Arial" w:hAnsi="Arial" w:cs="Arial"/>
              </w:rPr>
              <w:t>Portfolio Area</w:t>
            </w:r>
          </w:p>
        </w:tc>
        <w:tc>
          <w:tcPr>
            <w:tcW w:w="7348" w:type="dxa"/>
            <w:gridSpan w:val="3"/>
          </w:tcPr>
          <w:p w:rsidR="0080729B" w:rsidRDefault="0080729B" w:rsidP="006478E4">
            <w:pPr>
              <w:rPr>
                <w:rFonts w:ascii="Arial" w:hAnsi="Arial" w:cs="Arial"/>
              </w:rPr>
            </w:pPr>
            <w:r w:rsidRPr="000F2014">
              <w:rPr>
                <w:rFonts w:ascii="Arial" w:hAnsi="Arial" w:cs="Arial"/>
              </w:rPr>
              <w:t>Retail / Industrial / Offices / Leisure</w:t>
            </w:r>
          </w:p>
          <w:p w:rsidR="0080729B" w:rsidRPr="000F2014" w:rsidRDefault="0080729B" w:rsidP="006478E4">
            <w:pPr>
              <w:rPr>
                <w:rFonts w:ascii="Arial" w:hAnsi="Arial" w:cs="Arial"/>
              </w:rPr>
            </w:pPr>
          </w:p>
        </w:tc>
      </w:tr>
      <w:tr w:rsidR="0080729B" w:rsidRPr="000F2014" w:rsidTr="006478E4">
        <w:tc>
          <w:tcPr>
            <w:tcW w:w="1668" w:type="dxa"/>
          </w:tcPr>
          <w:p w:rsidR="0080729B" w:rsidRPr="000F2014" w:rsidRDefault="0080729B" w:rsidP="006478E4">
            <w:pPr>
              <w:rPr>
                <w:rFonts w:ascii="Arial" w:hAnsi="Arial" w:cs="Arial"/>
              </w:rPr>
            </w:pPr>
            <w:r w:rsidRPr="000F2014">
              <w:rPr>
                <w:rFonts w:ascii="Arial" w:hAnsi="Arial" w:cs="Arial"/>
              </w:rPr>
              <w:t>Single use tenant</w:t>
            </w:r>
          </w:p>
        </w:tc>
        <w:tc>
          <w:tcPr>
            <w:tcW w:w="7348" w:type="dxa"/>
            <w:gridSpan w:val="3"/>
          </w:tcPr>
          <w:p w:rsidR="0080729B" w:rsidRDefault="0080729B" w:rsidP="006478E4">
            <w:pPr>
              <w:rPr>
                <w:rFonts w:ascii="Arial" w:hAnsi="Arial" w:cs="Arial"/>
              </w:rPr>
            </w:pPr>
            <w:r w:rsidRPr="000F2014">
              <w:rPr>
                <w:rFonts w:ascii="Arial" w:hAnsi="Arial" w:cs="Arial"/>
              </w:rPr>
              <w:t>Yes / No</w:t>
            </w:r>
          </w:p>
          <w:p w:rsidR="0080729B" w:rsidRDefault="0080729B" w:rsidP="006478E4">
            <w:pPr>
              <w:rPr>
                <w:rFonts w:ascii="Arial" w:hAnsi="Arial" w:cs="Arial"/>
              </w:rPr>
            </w:pPr>
          </w:p>
          <w:p w:rsidR="0080729B" w:rsidRPr="000F2014" w:rsidRDefault="0080729B" w:rsidP="006478E4">
            <w:pPr>
              <w:rPr>
                <w:rFonts w:ascii="Arial" w:hAnsi="Arial" w:cs="Arial"/>
              </w:rPr>
            </w:pPr>
          </w:p>
        </w:tc>
      </w:tr>
      <w:tr w:rsidR="0080729B" w:rsidRPr="000F2014" w:rsidTr="006478E4">
        <w:tc>
          <w:tcPr>
            <w:tcW w:w="1668" w:type="dxa"/>
          </w:tcPr>
          <w:p w:rsidR="0080729B" w:rsidRPr="000F2014" w:rsidRDefault="0080729B" w:rsidP="006478E4">
            <w:pPr>
              <w:rPr>
                <w:rFonts w:ascii="Arial" w:hAnsi="Arial" w:cs="Arial"/>
              </w:rPr>
            </w:pPr>
            <w:r w:rsidRPr="000F2014">
              <w:rPr>
                <w:rFonts w:ascii="Arial" w:hAnsi="Arial" w:cs="Arial"/>
              </w:rPr>
              <w:t>Multi let building</w:t>
            </w:r>
          </w:p>
        </w:tc>
        <w:tc>
          <w:tcPr>
            <w:tcW w:w="7348" w:type="dxa"/>
            <w:gridSpan w:val="3"/>
          </w:tcPr>
          <w:p w:rsidR="0080729B" w:rsidRPr="000F2014" w:rsidRDefault="0080729B" w:rsidP="006478E4">
            <w:pPr>
              <w:rPr>
                <w:rFonts w:ascii="Arial" w:hAnsi="Arial" w:cs="Arial"/>
              </w:rPr>
            </w:pPr>
            <w:r w:rsidRPr="000F2014">
              <w:rPr>
                <w:rFonts w:ascii="Arial" w:hAnsi="Arial" w:cs="Arial"/>
              </w:rPr>
              <w:t>Yes / No</w:t>
            </w:r>
          </w:p>
          <w:p w:rsidR="0080729B" w:rsidRDefault="0080729B" w:rsidP="006478E4">
            <w:pPr>
              <w:rPr>
                <w:rFonts w:ascii="Arial" w:hAnsi="Arial" w:cs="Arial"/>
              </w:rPr>
            </w:pPr>
            <w:r w:rsidRPr="000F2014">
              <w:rPr>
                <w:rFonts w:ascii="Arial" w:hAnsi="Arial" w:cs="Arial"/>
              </w:rPr>
              <w:t>If yes, how many tenants</w:t>
            </w:r>
            <w:bookmarkStart w:id="0" w:name="_GoBack"/>
            <w:bookmarkEnd w:id="0"/>
            <w:r w:rsidRPr="000F2014">
              <w:rPr>
                <w:rFonts w:ascii="Arial" w:hAnsi="Arial" w:cs="Arial"/>
              </w:rPr>
              <w:t>?</w:t>
            </w:r>
          </w:p>
          <w:p w:rsidR="0080729B" w:rsidRPr="000F2014" w:rsidRDefault="0080729B" w:rsidP="006478E4">
            <w:pPr>
              <w:rPr>
                <w:rFonts w:ascii="Arial" w:hAnsi="Arial" w:cs="Arial"/>
              </w:rPr>
            </w:pPr>
          </w:p>
        </w:tc>
      </w:tr>
      <w:tr w:rsidR="0080729B" w:rsidRPr="000F2014" w:rsidTr="006478E4">
        <w:tc>
          <w:tcPr>
            <w:tcW w:w="1668" w:type="dxa"/>
          </w:tcPr>
          <w:p w:rsidR="0080729B" w:rsidRPr="000F2014" w:rsidRDefault="0080729B" w:rsidP="006478E4">
            <w:pPr>
              <w:rPr>
                <w:rFonts w:ascii="Arial" w:hAnsi="Arial" w:cs="Arial"/>
                <w:b/>
              </w:rPr>
            </w:pPr>
            <w:r w:rsidRPr="000F2014">
              <w:rPr>
                <w:rFonts w:ascii="Arial" w:hAnsi="Arial" w:cs="Arial"/>
                <w:b/>
              </w:rPr>
              <w:t>Asking price</w:t>
            </w:r>
          </w:p>
        </w:tc>
        <w:tc>
          <w:tcPr>
            <w:tcW w:w="7348" w:type="dxa"/>
            <w:gridSpan w:val="3"/>
          </w:tcPr>
          <w:p w:rsidR="0080729B" w:rsidRDefault="0080729B" w:rsidP="006478E4">
            <w:pPr>
              <w:rPr>
                <w:rFonts w:ascii="Arial" w:hAnsi="Arial" w:cs="Arial"/>
              </w:rPr>
            </w:pPr>
          </w:p>
          <w:p w:rsidR="0080729B" w:rsidRPr="000F2014" w:rsidRDefault="0080729B" w:rsidP="006478E4">
            <w:pPr>
              <w:rPr>
                <w:rFonts w:ascii="Arial" w:hAnsi="Arial" w:cs="Arial"/>
              </w:rPr>
            </w:pPr>
          </w:p>
        </w:tc>
      </w:tr>
      <w:tr w:rsidR="0080729B" w:rsidRPr="000F2014" w:rsidTr="006478E4">
        <w:tc>
          <w:tcPr>
            <w:tcW w:w="1668" w:type="dxa"/>
          </w:tcPr>
          <w:p w:rsidR="0080729B" w:rsidRPr="00AF028C" w:rsidRDefault="0080729B" w:rsidP="006478E4">
            <w:pPr>
              <w:rPr>
                <w:rFonts w:ascii="Arial" w:hAnsi="Arial" w:cs="Arial"/>
                <w:b/>
              </w:rPr>
            </w:pPr>
            <w:r w:rsidRPr="00AF028C">
              <w:rPr>
                <w:rFonts w:ascii="Arial" w:hAnsi="Arial" w:cs="Arial"/>
                <w:b/>
              </w:rPr>
              <w:t>Location</w:t>
            </w:r>
          </w:p>
        </w:tc>
        <w:tc>
          <w:tcPr>
            <w:tcW w:w="7348" w:type="dxa"/>
            <w:gridSpan w:val="3"/>
          </w:tcPr>
          <w:p w:rsidR="0080729B" w:rsidRDefault="0080729B" w:rsidP="006478E4">
            <w:pPr>
              <w:rPr>
                <w:rFonts w:ascii="Arial" w:hAnsi="Arial" w:cs="Arial"/>
              </w:rPr>
            </w:pPr>
          </w:p>
          <w:p w:rsidR="0080729B" w:rsidRDefault="0080729B" w:rsidP="006478E4">
            <w:pPr>
              <w:rPr>
                <w:rFonts w:ascii="Arial" w:hAnsi="Arial" w:cs="Arial"/>
              </w:rPr>
            </w:pPr>
          </w:p>
          <w:p w:rsidR="0080729B" w:rsidRPr="000F2014" w:rsidRDefault="0080729B" w:rsidP="006478E4">
            <w:pPr>
              <w:rPr>
                <w:rFonts w:ascii="Arial" w:hAnsi="Arial" w:cs="Arial"/>
              </w:rPr>
            </w:pPr>
          </w:p>
        </w:tc>
      </w:tr>
      <w:tr w:rsidR="0080729B" w:rsidRPr="000F2014" w:rsidTr="006478E4">
        <w:tc>
          <w:tcPr>
            <w:tcW w:w="1668" w:type="dxa"/>
          </w:tcPr>
          <w:p w:rsidR="0080729B" w:rsidRPr="000F2014" w:rsidRDefault="0080729B" w:rsidP="006478E4">
            <w:pPr>
              <w:rPr>
                <w:rFonts w:ascii="Arial" w:hAnsi="Arial" w:cs="Arial"/>
              </w:rPr>
            </w:pPr>
            <w:r w:rsidRPr="000F2014">
              <w:rPr>
                <w:rFonts w:ascii="Arial" w:hAnsi="Arial" w:cs="Arial"/>
              </w:rPr>
              <w:t xml:space="preserve">Type of investment </w:t>
            </w:r>
          </w:p>
        </w:tc>
        <w:tc>
          <w:tcPr>
            <w:tcW w:w="7348" w:type="dxa"/>
            <w:gridSpan w:val="3"/>
          </w:tcPr>
          <w:p w:rsidR="0080729B" w:rsidRDefault="0080729B" w:rsidP="006478E4">
            <w:pPr>
              <w:rPr>
                <w:rFonts w:ascii="Arial" w:hAnsi="Arial" w:cs="Arial"/>
              </w:rPr>
            </w:pPr>
            <w:r w:rsidRPr="000F2014">
              <w:rPr>
                <w:rFonts w:ascii="Arial" w:hAnsi="Arial" w:cs="Arial"/>
              </w:rPr>
              <w:t>Long leasehold / Freehold</w:t>
            </w:r>
          </w:p>
          <w:p w:rsidR="0080729B" w:rsidRPr="000F2014" w:rsidRDefault="0080729B" w:rsidP="006478E4">
            <w:pPr>
              <w:rPr>
                <w:rFonts w:ascii="Arial" w:hAnsi="Arial" w:cs="Arial"/>
              </w:rPr>
            </w:pPr>
          </w:p>
          <w:p w:rsidR="0080729B" w:rsidRDefault="0080729B" w:rsidP="006478E4">
            <w:pPr>
              <w:rPr>
                <w:rFonts w:ascii="Arial" w:hAnsi="Arial" w:cs="Arial"/>
              </w:rPr>
            </w:pPr>
            <w:r w:rsidRPr="000F2014">
              <w:rPr>
                <w:rFonts w:ascii="Arial" w:hAnsi="Arial" w:cs="Arial"/>
              </w:rPr>
              <w:t>If Long leasehold, how long is the lease? _____</w:t>
            </w:r>
          </w:p>
          <w:p w:rsidR="0080729B" w:rsidRPr="000F2014" w:rsidRDefault="0080729B" w:rsidP="006478E4">
            <w:pPr>
              <w:rPr>
                <w:rFonts w:ascii="Arial" w:hAnsi="Arial" w:cs="Arial"/>
              </w:rPr>
            </w:pPr>
          </w:p>
        </w:tc>
      </w:tr>
      <w:tr w:rsidR="0080729B" w:rsidRPr="000F2014" w:rsidTr="006478E4">
        <w:tc>
          <w:tcPr>
            <w:tcW w:w="1668" w:type="dxa"/>
          </w:tcPr>
          <w:p w:rsidR="0080729B" w:rsidRPr="000F2014" w:rsidRDefault="0080729B" w:rsidP="006478E4">
            <w:pPr>
              <w:rPr>
                <w:rFonts w:ascii="Arial" w:hAnsi="Arial" w:cs="Arial"/>
              </w:rPr>
            </w:pPr>
            <w:r w:rsidRPr="000F2014">
              <w:rPr>
                <w:rFonts w:ascii="Arial" w:hAnsi="Arial" w:cs="Arial"/>
              </w:rPr>
              <w:t xml:space="preserve">Yield </w:t>
            </w:r>
          </w:p>
        </w:tc>
        <w:tc>
          <w:tcPr>
            <w:tcW w:w="7348" w:type="dxa"/>
            <w:gridSpan w:val="3"/>
          </w:tcPr>
          <w:p w:rsidR="0080729B" w:rsidRDefault="0080729B" w:rsidP="006478E4">
            <w:pPr>
              <w:rPr>
                <w:rFonts w:ascii="Arial" w:hAnsi="Arial" w:cs="Arial"/>
              </w:rPr>
            </w:pPr>
            <w:r w:rsidRPr="000F2014">
              <w:rPr>
                <w:rFonts w:ascii="Arial" w:hAnsi="Arial" w:cs="Arial"/>
                <w:color w:val="548DD4" w:themeColor="text2" w:themeTint="99"/>
              </w:rPr>
              <w:t xml:space="preserve">               </w:t>
            </w:r>
            <w:r w:rsidRPr="000F2014">
              <w:rPr>
                <w:rFonts w:ascii="Arial" w:hAnsi="Arial" w:cs="Arial"/>
              </w:rPr>
              <w:t xml:space="preserve">% Gross       (Target financial yield     %)  </w:t>
            </w:r>
          </w:p>
          <w:p w:rsidR="0080729B" w:rsidRPr="000F2014" w:rsidRDefault="0080729B" w:rsidP="006478E4">
            <w:pPr>
              <w:rPr>
                <w:rFonts w:ascii="Arial" w:hAnsi="Arial" w:cs="Arial"/>
              </w:rPr>
            </w:pPr>
          </w:p>
        </w:tc>
      </w:tr>
      <w:tr w:rsidR="0080729B" w:rsidRPr="000F2014" w:rsidTr="006478E4">
        <w:tc>
          <w:tcPr>
            <w:tcW w:w="1668" w:type="dxa"/>
          </w:tcPr>
          <w:p w:rsidR="0080729B" w:rsidRPr="000F2014" w:rsidRDefault="0080729B" w:rsidP="006478E4">
            <w:pPr>
              <w:rPr>
                <w:rFonts w:ascii="Arial" w:hAnsi="Arial" w:cs="Arial"/>
              </w:rPr>
            </w:pPr>
            <w:r w:rsidRPr="000F2014">
              <w:rPr>
                <w:rFonts w:ascii="Arial" w:hAnsi="Arial" w:cs="Arial"/>
              </w:rPr>
              <w:t>Location</w:t>
            </w:r>
          </w:p>
        </w:tc>
        <w:tc>
          <w:tcPr>
            <w:tcW w:w="7348" w:type="dxa"/>
            <w:gridSpan w:val="3"/>
          </w:tcPr>
          <w:p w:rsidR="0080729B" w:rsidRDefault="0080729B" w:rsidP="006478E4">
            <w:pPr>
              <w:rPr>
                <w:rFonts w:ascii="Arial" w:hAnsi="Arial" w:cs="Arial"/>
              </w:rPr>
            </w:pPr>
            <w:r w:rsidRPr="000F2014">
              <w:rPr>
                <w:rFonts w:ascii="Arial" w:hAnsi="Arial" w:cs="Arial"/>
              </w:rPr>
              <w:t xml:space="preserve">Prime location / Secondary / Tertiary </w:t>
            </w:r>
          </w:p>
          <w:p w:rsidR="0080729B" w:rsidRPr="000F2014" w:rsidRDefault="0080729B" w:rsidP="006478E4">
            <w:pPr>
              <w:rPr>
                <w:rFonts w:ascii="Arial" w:hAnsi="Arial" w:cs="Arial"/>
              </w:rPr>
            </w:pPr>
          </w:p>
        </w:tc>
      </w:tr>
      <w:tr w:rsidR="0080729B" w:rsidRPr="000F2014" w:rsidTr="006478E4">
        <w:tc>
          <w:tcPr>
            <w:tcW w:w="1668" w:type="dxa"/>
          </w:tcPr>
          <w:p w:rsidR="0080729B" w:rsidRPr="000F2014" w:rsidRDefault="0080729B" w:rsidP="006478E4">
            <w:pPr>
              <w:rPr>
                <w:rFonts w:ascii="Arial" w:hAnsi="Arial" w:cs="Arial"/>
              </w:rPr>
            </w:pPr>
            <w:r>
              <w:rPr>
                <w:rFonts w:ascii="Arial" w:hAnsi="Arial" w:cs="Arial"/>
              </w:rPr>
              <w:t>Tenant Details</w:t>
            </w:r>
          </w:p>
        </w:tc>
        <w:tc>
          <w:tcPr>
            <w:tcW w:w="7348" w:type="dxa"/>
            <w:gridSpan w:val="3"/>
          </w:tcPr>
          <w:p w:rsidR="0080729B" w:rsidRDefault="0080729B" w:rsidP="006478E4">
            <w:pPr>
              <w:rPr>
                <w:rFonts w:ascii="Arial" w:hAnsi="Arial" w:cs="Arial"/>
              </w:rPr>
            </w:pPr>
          </w:p>
          <w:p w:rsidR="0080729B" w:rsidRDefault="0080729B" w:rsidP="006478E4">
            <w:pPr>
              <w:rPr>
                <w:rFonts w:ascii="Arial" w:hAnsi="Arial" w:cs="Arial"/>
              </w:rPr>
            </w:pPr>
          </w:p>
          <w:p w:rsidR="0080729B" w:rsidRDefault="0080729B" w:rsidP="006478E4">
            <w:pPr>
              <w:rPr>
                <w:rFonts w:ascii="Arial" w:hAnsi="Arial" w:cs="Arial"/>
              </w:rPr>
            </w:pPr>
          </w:p>
          <w:p w:rsidR="0080729B" w:rsidRDefault="0080729B" w:rsidP="006478E4">
            <w:pPr>
              <w:rPr>
                <w:rFonts w:ascii="Arial" w:hAnsi="Arial" w:cs="Arial"/>
              </w:rPr>
            </w:pPr>
          </w:p>
          <w:p w:rsidR="0080729B" w:rsidRDefault="0080729B" w:rsidP="006478E4">
            <w:pPr>
              <w:rPr>
                <w:rFonts w:ascii="Arial" w:hAnsi="Arial" w:cs="Arial"/>
              </w:rPr>
            </w:pPr>
          </w:p>
          <w:p w:rsidR="0080729B" w:rsidRDefault="0080729B" w:rsidP="006478E4">
            <w:pPr>
              <w:rPr>
                <w:rFonts w:ascii="Arial" w:hAnsi="Arial" w:cs="Arial"/>
              </w:rPr>
            </w:pPr>
          </w:p>
          <w:p w:rsidR="0080729B" w:rsidRDefault="0080729B" w:rsidP="006478E4">
            <w:pPr>
              <w:rPr>
                <w:rFonts w:ascii="Arial" w:hAnsi="Arial" w:cs="Arial"/>
              </w:rPr>
            </w:pPr>
          </w:p>
          <w:p w:rsidR="0080729B" w:rsidRPr="000F2014" w:rsidRDefault="0080729B" w:rsidP="006478E4">
            <w:pPr>
              <w:rPr>
                <w:rFonts w:ascii="Arial" w:hAnsi="Arial" w:cs="Arial"/>
              </w:rPr>
            </w:pPr>
          </w:p>
        </w:tc>
      </w:tr>
      <w:tr w:rsidR="0080729B" w:rsidRPr="000F2014" w:rsidTr="006478E4">
        <w:tc>
          <w:tcPr>
            <w:tcW w:w="1668" w:type="dxa"/>
          </w:tcPr>
          <w:p w:rsidR="0080729B" w:rsidRPr="000F2014" w:rsidRDefault="0080729B" w:rsidP="006478E4">
            <w:pPr>
              <w:rPr>
                <w:rFonts w:ascii="Arial" w:hAnsi="Arial" w:cs="Arial"/>
              </w:rPr>
            </w:pPr>
            <w:r w:rsidRPr="000F2014">
              <w:rPr>
                <w:rFonts w:ascii="Arial" w:hAnsi="Arial" w:cs="Arial"/>
              </w:rPr>
              <w:lastRenderedPageBreak/>
              <w:t>Length of lease unexpired</w:t>
            </w:r>
          </w:p>
        </w:tc>
        <w:tc>
          <w:tcPr>
            <w:tcW w:w="7348" w:type="dxa"/>
            <w:gridSpan w:val="3"/>
          </w:tcPr>
          <w:p w:rsidR="0080729B" w:rsidRDefault="0080729B" w:rsidP="006478E4">
            <w:pPr>
              <w:rPr>
                <w:rFonts w:ascii="Arial" w:hAnsi="Arial" w:cs="Arial"/>
              </w:rPr>
            </w:pPr>
          </w:p>
          <w:p w:rsidR="0080729B" w:rsidRPr="000F2014" w:rsidRDefault="0080729B" w:rsidP="006478E4">
            <w:pPr>
              <w:rPr>
                <w:rFonts w:ascii="Arial" w:hAnsi="Arial" w:cs="Arial"/>
              </w:rPr>
            </w:pPr>
          </w:p>
        </w:tc>
      </w:tr>
      <w:tr w:rsidR="0080729B" w:rsidRPr="000F2014" w:rsidTr="006478E4">
        <w:tc>
          <w:tcPr>
            <w:tcW w:w="1668" w:type="dxa"/>
          </w:tcPr>
          <w:p w:rsidR="0080729B" w:rsidRPr="000F2014" w:rsidRDefault="0080729B" w:rsidP="006478E4">
            <w:pPr>
              <w:rPr>
                <w:rFonts w:ascii="Arial" w:hAnsi="Arial" w:cs="Arial"/>
              </w:rPr>
            </w:pPr>
            <w:r w:rsidRPr="000F2014">
              <w:rPr>
                <w:rFonts w:ascii="Arial" w:hAnsi="Arial" w:cs="Arial"/>
              </w:rPr>
              <w:t>Financial strength of tenant</w:t>
            </w:r>
          </w:p>
        </w:tc>
        <w:tc>
          <w:tcPr>
            <w:tcW w:w="7348" w:type="dxa"/>
            <w:gridSpan w:val="3"/>
          </w:tcPr>
          <w:p w:rsidR="0080729B" w:rsidRDefault="0080729B" w:rsidP="006478E4">
            <w:pPr>
              <w:rPr>
                <w:rFonts w:ascii="Arial" w:hAnsi="Arial" w:cs="Arial"/>
              </w:rPr>
            </w:pPr>
            <w:r w:rsidRPr="000F2014">
              <w:rPr>
                <w:rFonts w:ascii="Arial" w:hAnsi="Arial" w:cs="Arial"/>
              </w:rPr>
              <w:t>Covenant strength:         Good/Poor</w:t>
            </w:r>
          </w:p>
          <w:p w:rsidR="0080729B" w:rsidRDefault="0080729B" w:rsidP="006478E4">
            <w:pPr>
              <w:rPr>
                <w:rFonts w:ascii="Arial" w:hAnsi="Arial" w:cs="Arial"/>
              </w:rPr>
            </w:pPr>
          </w:p>
          <w:p w:rsidR="0080729B" w:rsidRPr="000F2014" w:rsidRDefault="0080729B" w:rsidP="006478E4">
            <w:pPr>
              <w:rPr>
                <w:rFonts w:ascii="Arial" w:hAnsi="Arial" w:cs="Arial"/>
              </w:rPr>
            </w:pPr>
            <w:r w:rsidRPr="000F2014">
              <w:rPr>
                <w:rFonts w:ascii="Arial" w:hAnsi="Arial" w:cs="Arial"/>
              </w:rPr>
              <w:t xml:space="preserve">Credit score : </w:t>
            </w:r>
          </w:p>
          <w:p w:rsidR="0080729B" w:rsidRPr="000F2014" w:rsidRDefault="0080729B" w:rsidP="006478E4">
            <w:pPr>
              <w:rPr>
                <w:rFonts w:ascii="Arial" w:hAnsi="Arial" w:cs="Arial"/>
              </w:rPr>
            </w:pPr>
          </w:p>
          <w:p w:rsidR="0080729B" w:rsidRPr="000F2014" w:rsidRDefault="0080729B" w:rsidP="006478E4">
            <w:pPr>
              <w:rPr>
                <w:rFonts w:ascii="Arial" w:hAnsi="Arial" w:cs="Arial"/>
              </w:rPr>
            </w:pPr>
            <w:r w:rsidRPr="000F2014">
              <w:rPr>
                <w:rFonts w:ascii="Arial" w:hAnsi="Arial" w:cs="Arial"/>
              </w:rPr>
              <w:t>If more than one tenant: Covenant strength and credit score for all</w:t>
            </w:r>
          </w:p>
          <w:p w:rsidR="0080729B" w:rsidRPr="000F2014" w:rsidRDefault="0080729B" w:rsidP="006478E4">
            <w:pPr>
              <w:rPr>
                <w:rFonts w:ascii="Arial" w:hAnsi="Arial" w:cs="Arial"/>
              </w:rPr>
            </w:pPr>
          </w:p>
        </w:tc>
      </w:tr>
      <w:tr w:rsidR="0080729B" w:rsidRPr="000F2014" w:rsidTr="006478E4">
        <w:trPr>
          <w:trHeight w:val="688"/>
        </w:trPr>
        <w:tc>
          <w:tcPr>
            <w:tcW w:w="1668" w:type="dxa"/>
            <w:vMerge w:val="restart"/>
          </w:tcPr>
          <w:p w:rsidR="0080729B" w:rsidRPr="000F2014" w:rsidRDefault="0080729B" w:rsidP="006478E4">
            <w:pPr>
              <w:rPr>
                <w:rFonts w:ascii="Arial" w:hAnsi="Arial" w:cs="Arial"/>
              </w:rPr>
            </w:pPr>
            <w:r w:rsidRPr="000F2014">
              <w:rPr>
                <w:rFonts w:ascii="Arial" w:hAnsi="Arial" w:cs="Arial"/>
              </w:rPr>
              <w:t>Lease terms</w:t>
            </w:r>
          </w:p>
        </w:tc>
        <w:tc>
          <w:tcPr>
            <w:tcW w:w="7348" w:type="dxa"/>
            <w:gridSpan w:val="3"/>
          </w:tcPr>
          <w:p w:rsidR="0080729B" w:rsidRPr="000F2014" w:rsidRDefault="0080729B" w:rsidP="006478E4">
            <w:pPr>
              <w:rPr>
                <w:rFonts w:ascii="Arial" w:hAnsi="Arial" w:cs="Arial"/>
                <w:color w:val="4F81BD" w:themeColor="accent1"/>
              </w:rPr>
            </w:pPr>
            <w:r>
              <w:rPr>
                <w:rFonts w:ascii="Arial" w:hAnsi="Arial" w:cs="Arial"/>
              </w:rPr>
              <w:t>Tenant break option</w:t>
            </w:r>
          </w:p>
          <w:p w:rsidR="0080729B" w:rsidRPr="000F2014" w:rsidRDefault="0080729B" w:rsidP="006478E4">
            <w:pPr>
              <w:rPr>
                <w:rFonts w:ascii="Arial" w:hAnsi="Arial" w:cs="Arial"/>
              </w:rPr>
            </w:pPr>
          </w:p>
        </w:tc>
      </w:tr>
      <w:tr w:rsidR="0080729B" w:rsidRPr="000F2014" w:rsidTr="006478E4">
        <w:trPr>
          <w:trHeight w:val="370"/>
        </w:trPr>
        <w:tc>
          <w:tcPr>
            <w:tcW w:w="1668" w:type="dxa"/>
            <w:vMerge/>
          </w:tcPr>
          <w:p w:rsidR="0080729B" w:rsidRPr="000F2014" w:rsidRDefault="0080729B" w:rsidP="006478E4">
            <w:pPr>
              <w:rPr>
                <w:rFonts w:ascii="Arial" w:hAnsi="Arial" w:cs="Arial"/>
              </w:rPr>
            </w:pPr>
          </w:p>
        </w:tc>
        <w:tc>
          <w:tcPr>
            <w:tcW w:w="7348" w:type="dxa"/>
            <w:gridSpan w:val="3"/>
          </w:tcPr>
          <w:p w:rsidR="0080729B" w:rsidRPr="000F2014" w:rsidRDefault="0080729B" w:rsidP="006478E4">
            <w:pPr>
              <w:rPr>
                <w:rFonts w:ascii="Arial" w:hAnsi="Arial" w:cs="Arial"/>
                <w:color w:val="4F81BD" w:themeColor="accent1"/>
              </w:rPr>
            </w:pPr>
            <w:r w:rsidRPr="000F2014">
              <w:rPr>
                <w:rFonts w:ascii="Arial" w:hAnsi="Arial" w:cs="Arial"/>
              </w:rPr>
              <w:t xml:space="preserve">Rent review pattern      </w:t>
            </w:r>
          </w:p>
          <w:p w:rsidR="0080729B" w:rsidRPr="000F2014" w:rsidRDefault="0080729B" w:rsidP="006478E4">
            <w:pPr>
              <w:rPr>
                <w:rFonts w:ascii="Arial" w:hAnsi="Arial" w:cs="Arial"/>
              </w:rPr>
            </w:pPr>
          </w:p>
        </w:tc>
      </w:tr>
      <w:tr w:rsidR="0080729B" w:rsidRPr="000F2014" w:rsidTr="006478E4">
        <w:trPr>
          <w:trHeight w:val="370"/>
        </w:trPr>
        <w:tc>
          <w:tcPr>
            <w:tcW w:w="1668" w:type="dxa"/>
            <w:vMerge/>
          </w:tcPr>
          <w:p w:rsidR="0080729B" w:rsidRPr="000F2014" w:rsidRDefault="0080729B" w:rsidP="006478E4">
            <w:pPr>
              <w:rPr>
                <w:rFonts w:ascii="Arial" w:hAnsi="Arial" w:cs="Arial"/>
              </w:rPr>
            </w:pPr>
          </w:p>
        </w:tc>
        <w:tc>
          <w:tcPr>
            <w:tcW w:w="7348" w:type="dxa"/>
            <w:gridSpan w:val="3"/>
          </w:tcPr>
          <w:p w:rsidR="0080729B" w:rsidRPr="000F2014" w:rsidRDefault="0080729B" w:rsidP="006478E4">
            <w:pPr>
              <w:rPr>
                <w:rFonts w:ascii="Arial" w:hAnsi="Arial" w:cs="Arial"/>
              </w:rPr>
            </w:pPr>
            <w:r w:rsidRPr="000F2014">
              <w:rPr>
                <w:rFonts w:ascii="Arial" w:hAnsi="Arial" w:cs="Arial"/>
              </w:rPr>
              <w:t xml:space="preserve">Upward only review or RPI/CPI uplift?   </w:t>
            </w:r>
          </w:p>
          <w:p w:rsidR="0080729B" w:rsidRPr="000F2014" w:rsidRDefault="0080729B" w:rsidP="006478E4">
            <w:pPr>
              <w:rPr>
                <w:rFonts w:ascii="Arial" w:hAnsi="Arial" w:cs="Arial"/>
              </w:rPr>
            </w:pPr>
          </w:p>
        </w:tc>
      </w:tr>
      <w:tr w:rsidR="0080729B" w:rsidRPr="000F2014" w:rsidTr="006478E4">
        <w:tc>
          <w:tcPr>
            <w:tcW w:w="1668" w:type="dxa"/>
          </w:tcPr>
          <w:p w:rsidR="0080729B" w:rsidRDefault="0080729B" w:rsidP="006478E4">
            <w:pPr>
              <w:rPr>
                <w:rFonts w:ascii="Arial" w:hAnsi="Arial" w:cs="Arial"/>
              </w:rPr>
            </w:pPr>
            <w:r w:rsidRPr="000F2014">
              <w:rPr>
                <w:rFonts w:ascii="Arial" w:hAnsi="Arial" w:cs="Arial"/>
              </w:rPr>
              <w:t>Rent per annum</w:t>
            </w:r>
          </w:p>
          <w:p w:rsidR="0080729B" w:rsidRPr="000F2014" w:rsidRDefault="0080729B" w:rsidP="006478E4">
            <w:pPr>
              <w:rPr>
                <w:rFonts w:ascii="Arial" w:hAnsi="Arial" w:cs="Arial"/>
              </w:rPr>
            </w:pPr>
          </w:p>
        </w:tc>
        <w:tc>
          <w:tcPr>
            <w:tcW w:w="7348" w:type="dxa"/>
            <w:gridSpan w:val="3"/>
          </w:tcPr>
          <w:p w:rsidR="0080729B" w:rsidRPr="000F2014" w:rsidRDefault="0080729B" w:rsidP="006478E4">
            <w:pPr>
              <w:rPr>
                <w:rFonts w:ascii="Arial" w:hAnsi="Arial" w:cs="Arial"/>
                <w:color w:val="4F81BD" w:themeColor="accent1"/>
              </w:rPr>
            </w:pPr>
            <w:r w:rsidRPr="000F2014">
              <w:rPr>
                <w:rFonts w:ascii="Arial" w:hAnsi="Arial" w:cs="Arial"/>
              </w:rPr>
              <w:t>£</w:t>
            </w:r>
          </w:p>
          <w:p w:rsidR="0080729B" w:rsidRPr="000F2014" w:rsidRDefault="0080729B" w:rsidP="006478E4">
            <w:pPr>
              <w:rPr>
                <w:rFonts w:ascii="Arial" w:hAnsi="Arial" w:cs="Arial"/>
              </w:rPr>
            </w:pPr>
          </w:p>
        </w:tc>
      </w:tr>
      <w:tr w:rsidR="0080729B" w:rsidRPr="000F2014" w:rsidTr="006478E4">
        <w:tc>
          <w:tcPr>
            <w:tcW w:w="1668" w:type="dxa"/>
          </w:tcPr>
          <w:p w:rsidR="0080729B" w:rsidRDefault="0080729B" w:rsidP="006478E4">
            <w:pPr>
              <w:rPr>
                <w:rFonts w:ascii="Arial" w:hAnsi="Arial" w:cs="Arial"/>
              </w:rPr>
            </w:pPr>
            <w:r w:rsidRPr="000F2014">
              <w:rPr>
                <w:rFonts w:ascii="Arial" w:hAnsi="Arial" w:cs="Arial"/>
              </w:rPr>
              <w:t>Use – existing</w:t>
            </w:r>
          </w:p>
          <w:p w:rsidR="0080729B" w:rsidRPr="000F2014" w:rsidRDefault="0080729B" w:rsidP="006478E4">
            <w:pPr>
              <w:rPr>
                <w:rFonts w:ascii="Arial" w:hAnsi="Arial" w:cs="Arial"/>
              </w:rPr>
            </w:pPr>
          </w:p>
        </w:tc>
        <w:tc>
          <w:tcPr>
            <w:tcW w:w="7348" w:type="dxa"/>
            <w:gridSpan w:val="3"/>
          </w:tcPr>
          <w:p w:rsidR="0080729B" w:rsidRPr="000F2014" w:rsidRDefault="0080729B" w:rsidP="006478E4">
            <w:pPr>
              <w:rPr>
                <w:rFonts w:ascii="Arial" w:hAnsi="Arial" w:cs="Arial"/>
              </w:rPr>
            </w:pPr>
          </w:p>
        </w:tc>
      </w:tr>
      <w:tr w:rsidR="0080729B" w:rsidRPr="000F2014" w:rsidTr="006478E4">
        <w:tc>
          <w:tcPr>
            <w:tcW w:w="1668" w:type="dxa"/>
          </w:tcPr>
          <w:p w:rsidR="0080729B" w:rsidRPr="000F2014" w:rsidRDefault="0080729B" w:rsidP="006478E4">
            <w:pPr>
              <w:rPr>
                <w:rFonts w:ascii="Arial" w:hAnsi="Arial" w:cs="Arial"/>
              </w:rPr>
            </w:pPr>
            <w:r w:rsidRPr="000F2014">
              <w:rPr>
                <w:rFonts w:ascii="Arial" w:hAnsi="Arial" w:cs="Arial"/>
              </w:rPr>
              <w:t>Use – alternative</w:t>
            </w:r>
          </w:p>
        </w:tc>
        <w:tc>
          <w:tcPr>
            <w:tcW w:w="7348" w:type="dxa"/>
            <w:gridSpan w:val="3"/>
          </w:tcPr>
          <w:p w:rsidR="0080729B" w:rsidRPr="000F2014" w:rsidRDefault="0080729B" w:rsidP="006478E4">
            <w:pPr>
              <w:rPr>
                <w:rFonts w:ascii="Arial" w:hAnsi="Arial" w:cs="Arial"/>
                <w:color w:val="4F81BD" w:themeColor="accent1"/>
              </w:rPr>
            </w:pPr>
          </w:p>
          <w:p w:rsidR="0080729B" w:rsidRPr="000F2014" w:rsidRDefault="0080729B" w:rsidP="006478E4">
            <w:pPr>
              <w:rPr>
                <w:rFonts w:ascii="Arial" w:hAnsi="Arial" w:cs="Arial"/>
              </w:rPr>
            </w:pPr>
          </w:p>
        </w:tc>
      </w:tr>
      <w:tr w:rsidR="0080729B" w:rsidRPr="000F2014" w:rsidTr="006478E4">
        <w:tc>
          <w:tcPr>
            <w:tcW w:w="1668" w:type="dxa"/>
          </w:tcPr>
          <w:p w:rsidR="0080729B" w:rsidRPr="000F2014" w:rsidRDefault="0080729B" w:rsidP="006478E4">
            <w:pPr>
              <w:rPr>
                <w:rFonts w:ascii="Arial" w:hAnsi="Arial" w:cs="Arial"/>
              </w:rPr>
            </w:pPr>
            <w:r w:rsidRPr="000F2014">
              <w:rPr>
                <w:rFonts w:ascii="Arial" w:hAnsi="Arial" w:cs="Arial"/>
              </w:rPr>
              <w:t xml:space="preserve">Management </w:t>
            </w:r>
            <w:r>
              <w:rPr>
                <w:rFonts w:ascii="Arial" w:hAnsi="Arial" w:cs="Arial"/>
              </w:rPr>
              <w:t>arrangements</w:t>
            </w:r>
          </w:p>
        </w:tc>
        <w:tc>
          <w:tcPr>
            <w:tcW w:w="7348" w:type="dxa"/>
            <w:gridSpan w:val="3"/>
          </w:tcPr>
          <w:p w:rsidR="0080729B" w:rsidRPr="000F2014" w:rsidRDefault="0080729B" w:rsidP="006478E4">
            <w:pPr>
              <w:rPr>
                <w:rFonts w:ascii="Arial" w:hAnsi="Arial" w:cs="Arial"/>
              </w:rPr>
            </w:pPr>
          </w:p>
          <w:p w:rsidR="0080729B" w:rsidRPr="000F2014" w:rsidRDefault="0080729B" w:rsidP="006478E4">
            <w:pPr>
              <w:rPr>
                <w:rFonts w:ascii="Arial" w:hAnsi="Arial" w:cs="Arial"/>
              </w:rPr>
            </w:pPr>
            <w:r w:rsidRPr="000F2014">
              <w:rPr>
                <w:rFonts w:ascii="Arial" w:hAnsi="Arial" w:cs="Arial"/>
              </w:rPr>
              <w:t xml:space="preserve"> </w:t>
            </w:r>
          </w:p>
          <w:p w:rsidR="0080729B" w:rsidRPr="000F2014" w:rsidRDefault="0080729B" w:rsidP="006478E4">
            <w:pPr>
              <w:rPr>
                <w:rFonts w:ascii="Arial" w:hAnsi="Arial" w:cs="Arial"/>
              </w:rPr>
            </w:pPr>
          </w:p>
          <w:p w:rsidR="0080729B" w:rsidRPr="000F2014" w:rsidRDefault="0080729B" w:rsidP="006478E4">
            <w:pPr>
              <w:rPr>
                <w:rFonts w:ascii="Arial" w:hAnsi="Arial" w:cs="Arial"/>
              </w:rPr>
            </w:pPr>
          </w:p>
        </w:tc>
      </w:tr>
      <w:tr w:rsidR="0080729B" w:rsidRPr="000F2014" w:rsidTr="006478E4">
        <w:tc>
          <w:tcPr>
            <w:tcW w:w="1668" w:type="dxa"/>
          </w:tcPr>
          <w:p w:rsidR="0080729B" w:rsidRDefault="0080729B" w:rsidP="006478E4">
            <w:pPr>
              <w:rPr>
                <w:rFonts w:ascii="Arial" w:hAnsi="Arial" w:cs="Arial"/>
              </w:rPr>
            </w:pPr>
            <w:r w:rsidRPr="000F2014">
              <w:rPr>
                <w:rFonts w:ascii="Arial" w:hAnsi="Arial" w:cs="Arial"/>
              </w:rPr>
              <w:t xml:space="preserve">Does this purchase </w:t>
            </w:r>
            <w:r>
              <w:rPr>
                <w:rFonts w:ascii="Arial" w:hAnsi="Arial" w:cs="Arial"/>
              </w:rPr>
              <w:t>comply</w:t>
            </w:r>
            <w:r w:rsidRPr="000F2014">
              <w:rPr>
                <w:rFonts w:ascii="Arial" w:hAnsi="Arial" w:cs="Arial"/>
              </w:rPr>
              <w:t xml:space="preserve"> with the Strategy?</w:t>
            </w:r>
          </w:p>
          <w:p w:rsidR="0080729B" w:rsidRPr="000F2014" w:rsidRDefault="0080729B" w:rsidP="006478E4">
            <w:pPr>
              <w:rPr>
                <w:rFonts w:ascii="Arial" w:hAnsi="Arial" w:cs="Arial"/>
              </w:rPr>
            </w:pPr>
          </w:p>
        </w:tc>
        <w:tc>
          <w:tcPr>
            <w:tcW w:w="7348" w:type="dxa"/>
            <w:gridSpan w:val="3"/>
          </w:tcPr>
          <w:p w:rsidR="0080729B" w:rsidRPr="000F2014" w:rsidRDefault="0080729B" w:rsidP="006478E4">
            <w:pPr>
              <w:rPr>
                <w:rFonts w:ascii="Arial" w:hAnsi="Arial" w:cs="Arial"/>
              </w:rPr>
            </w:pPr>
          </w:p>
        </w:tc>
      </w:tr>
      <w:tr w:rsidR="0080729B" w:rsidRPr="000F2014" w:rsidTr="006478E4">
        <w:tc>
          <w:tcPr>
            <w:tcW w:w="1668" w:type="dxa"/>
          </w:tcPr>
          <w:p w:rsidR="0080729B" w:rsidRPr="000F2014" w:rsidRDefault="0080729B" w:rsidP="006478E4">
            <w:pPr>
              <w:rPr>
                <w:rFonts w:ascii="Arial" w:hAnsi="Arial" w:cs="Arial"/>
              </w:rPr>
            </w:pPr>
            <w:r w:rsidRPr="000F2014">
              <w:rPr>
                <w:rFonts w:ascii="Arial" w:hAnsi="Arial" w:cs="Arial"/>
              </w:rPr>
              <w:t>Due diligence checks proposed</w:t>
            </w:r>
          </w:p>
        </w:tc>
        <w:tc>
          <w:tcPr>
            <w:tcW w:w="7348" w:type="dxa"/>
            <w:gridSpan w:val="3"/>
          </w:tcPr>
          <w:p w:rsidR="0080729B" w:rsidRPr="000F2014" w:rsidRDefault="0080729B" w:rsidP="006478E4">
            <w:pPr>
              <w:pStyle w:val="NoSpacing"/>
              <w:rPr>
                <w:rFonts w:ascii="Arial" w:hAnsi="Arial" w:cs="Arial"/>
              </w:rPr>
            </w:pPr>
            <w:r w:rsidRPr="000F2014">
              <w:rPr>
                <w:rFonts w:ascii="Arial" w:hAnsi="Arial" w:cs="Arial"/>
              </w:rPr>
              <w:t xml:space="preserve">Red book valuation:                Date:        Who:  </w:t>
            </w:r>
          </w:p>
          <w:p w:rsidR="0080729B" w:rsidRPr="000F2014" w:rsidRDefault="0080729B" w:rsidP="006478E4">
            <w:pPr>
              <w:pStyle w:val="NoSpacing"/>
              <w:rPr>
                <w:rFonts w:ascii="Arial" w:hAnsi="Arial" w:cs="Arial"/>
              </w:rPr>
            </w:pPr>
          </w:p>
          <w:p w:rsidR="0080729B" w:rsidRPr="000F2014" w:rsidRDefault="0080729B" w:rsidP="006478E4">
            <w:pPr>
              <w:pStyle w:val="NoSpacing"/>
              <w:rPr>
                <w:rFonts w:ascii="Arial" w:hAnsi="Arial" w:cs="Arial"/>
              </w:rPr>
            </w:pPr>
            <w:r w:rsidRPr="000F2014">
              <w:rPr>
                <w:rFonts w:ascii="Arial" w:hAnsi="Arial" w:cs="Arial"/>
              </w:rPr>
              <w:t>Physical condition checks:</w:t>
            </w:r>
          </w:p>
          <w:p w:rsidR="0080729B" w:rsidRPr="000F2014" w:rsidRDefault="0080729B" w:rsidP="006478E4">
            <w:pPr>
              <w:pStyle w:val="NoSpacing"/>
              <w:rPr>
                <w:rFonts w:ascii="Arial" w:hAnsi="Arial" w:cs="Arial"/>
              </w:rPr>
            </w:pPr>
            <w:r w:rsidRPr="000F2014">
              <w:rPr>
                <w:rFonts w:ascii="Arial" w:hAnsi="Arial" w:cs="Arial"/>
              </w:rPr>
              <w:t xml:space="preserve">Internal visual check:       Yes / No         Date:           </w:t>
            </w:r>
            <w:r w:rsidRPr="000F2014">
              <w:rPr>
                <w:rFonts w:ascii="Arial" w:hAnsi="Arial" w:cs="Arial"/>
                <w:color w:val="4F81BD" w:themeColor="accent1"/>
              </w:rPr>
              <w:t xml:space="preserve">         </w:t>
            </w:r>
            <w:r w:rsidRPr="000F2014">
              <w:rPr>
                <w:rFonts w:ascii="Arial" w:hAnsi="Arial" w:cs="Arial"/>
              </w:rPr>
              <w:t xml:space="preserve">Who:  </w:t>
            </w:r>
          </w:p>
          <w:p w:rsidR="0080729B" w:rsidRPr="000F2014" w:rsidRDefault="0080729B" w:rsidP="006478E4">
            <w:pPr>
              <w:pStyle w:val="NoSpacing"/>
              <w:rPr>
                <w:rFonts w:ascii="Arial" w:hAnsi="Arial" w:cs="Arial"/>
              </w:rPr>
            </w:pPr>
            <w:r w:rsidRPr="000F2014">
              <w:rPr>
                <w:rFonts w:ascii="Arial" w:hAnsi="Arial" w:cs="Arial"/>
              </w:rPr>
              <w:t>External Building survey:  Yes / No        Date:                   Who:</w:t>
            </w:r>
          </w:p>
          <w:p w:rsidR="0080729B" w:rsidRPr="000F2014" w:rsidRDefault="0080729B" w:rsidP="006478E4">
            <w:pPr>
              <w:pStyle w:val="NoSpacing"/>
              <w:rPr>
                <w:rFonts w:ascii="Arial" w:hAnsi="Arial" w:cs="Arial"/>
              </w:rPr>
            </w:pPr>
            <w:r w:rsidRPr="000F2014">
              <w:rPr>
                <w:rFonts w:ascii="Arial" w:hAnsi="Arial" w:cs="Arial"/>
              </w:rPr>
              <w:t>Full structural mechanical &amp; electrical survey required:   Yes / No</w:t>
            </w:r>
          </w:p>
          <w:p w:rsidR="0080729B" w:rsidRPr="000F2014" w:rsidRDefault="0080729B" w:rsidP="006478E4">
            <w:pPr>
              <w:pStyle w:val="NoSpacing"/>
              <w:rPr>
                <w:rFonts w:ascii="Arial" w:hAnsi="Arial" w:cs="Arial"/>
              </w:rPr>
            </w:pPr>
            <w:r w:rsidRPr="000F2014">
              <w:rPr>
                <w:rFonts w:ascii="Arial" w:hAnsi="Arial" w:cs="Arial"/>
              </w:rPr>
              <w:t>Date :                                   Who:</w:t>
            </w:r>
          </w:p>
          <w:p w:rsidR="0080729B" w:rsidRPr="000F2014" w:rsidRDefault="0080729B" w:rsidP="006478E4">
            <w:pPr>
              <w:pStyle w:val="NoSpacing"/>
              <w:rPr>
                <w:rFonts w:ascii="Arial" w:hAnsi="Arial" w:cs="Arial"/>
              </w:rPr>
            </w:pPr>
          </w:p>
          <w:p w:rsidR="0080729B" w:rsidRPr="000F2014" w:rsidRDefault="0080729B" w:rsidP="006478E4">
            <w:pPr>
              <w:pStyle w:val="NoSpacing"/>
              <w:rPr>
                <w:rFonts w:ascii="Arial" w:hAnsi="Arial" w:cs="Arial"/>
              </w:rPr>
            </w:pPr>
            <w:r w:rsidRPr="000F2014">
              <w:rPr>
                <w:rFonts w:ascii="Arial" w:hAnsi="Arial" w:cs="Arial"/>
              </w:rPr>
              <w:t xml:space="preserve">Legal title checks – good clean title required:  </w:t>
            </w:r>
          </w:p>
        </w:tc>
      </w:tr>
      <w:tr w:rsidR="0080729B" w:rsidRPr="000F2014" w:rsidTr="006478E4">
        <w:tc>
          <w:tcPr>
            <w:tcW w:w="1668" w:type="dxa"/>
          </w:tcPr>
          <w:p w:rsidR="0080729B" w:rsidRPr="000F2014" w:rsidRDefault="0080729B" w:rsidP="006478E4">
            <w:pPr>
              <w:rPr>
                <w:rFonts w:ascii="Arial" w:hAnsi="Arial" w:cs="Arial"/>
              </w:rPr>
            </w:pPr>
            <w:r w:rsidRPr="000F2014">
              <w:rPr>
                <w:rFonts w:ascii="Arial" w:hAnsi="Arial" w:cs="Arial"/>
              </w:rPr>
              <w:t>Proposed holding period</w:t>
            </w:r>
          </w:p>
        </w:tc>
        <w:tc>
          <w:tcPr>
            <w:tcW w:w="7348" w:type="dxa"/>
            <w:gridSpan w:val="3"/>
          </w:tcPr>
          <w:p w:rsidR="0080729B" w:rsidRDefault="0080729B" w:rsidP="006478E4">
            <w:pPr>
              <w:pStyle w:val="NoSpacing"/>
              <w:rPr>
                <w:rFonts w:ascii="Arial" w:hAnsi="Arial" w:cs="Arial"/>
              </w:rPr>
            </w:pPr>
          </w:p>
          <w:p w:rsidR="0080729B" w:rsidRDefault="0080729B" w:rsidP="006478E4">
            <w:pPr>
              <w:pStyle w:val="NoSpacing"/>
              <w:rPr>
                <w:rFonts w:ascii="Arial" w:hAnsi="Arial" w:cs="Arial"/>
              </w:rPr>
            </w:pPr>
          </w:p>
          <w:p w:rsidR="0080729B" w:rsidRPr="000F2014" w:rsidRDefault="0080729B" w:rsidP="006478E4">
            <w:pPr>
              <w:pStyle w:val="NoSpacing"/>
              <w:rPr>
                <w:rFonts w:ascii="Arial" w:hAnsi="Arial" w:cs="Arial"/>
              </w:rPr>
            </w:pPr>
          </w:p>
        </w:tc>
      </w:tr>
      <w:tr w:rsidR="0080729B" w:rsidRPr="000F2014" w:rsidTr="006478E4">
        <w:trPr>
          <w:trHeight w:val="226"/>
        </w:trPr>
        <w:tc>
          <w:tcPr>
            <w:tcW w:w="1668" w:type="dxa"/>
            <w:vMerge w:val="restart"/>
          </w:tcPr>
          <w:p w:rsidR="0080729B" w:rsidRPr="000F2014" w:rsidRDefault="0080729B" w:rsidP="006478E4">
            <w:pPr>
              <w:rPr>
                <w:rFonts w:ascii="Arial" w:hAnsi="Arial" w:cs="Arial"/>
              </w:rPr>
            </w:pPr>
            <w:r w:rsidRPr="000F2014">
              <w:rPr>
                <w:rFonts w:ascii="Arial" w:hAnsi="Arial" w:cs="Arial"/>
              </w:rPr>
              <w:t>Attachments</w:t>
            </w:r>
          </w:p>
        </w:tc>
        <w:tc>
          <w:tcPr>
            <w:tcW w:w="5793" w:type="dxa"/>
            <w:gridSpan w:val="2"/>
          </w:tcPr>
          <w:p w:rsidR="0080729B" w:rsidRPr="000F2014" w:rsidRDefault="0080729B" w:rsidP="006478E4">
            <w:pPr>
              <w:pStyle w:val="NoSpacing"/>
              <w:rPr>
                <w:rFonts w:ascii="Arial" w:hAnsi="Arial" w:cs="Arial"/>
              </w:rPr>
            </w:pPr>
            <w:r w:rsidRPr="000F2014">
              <w:rPr>
                <w:rFonts w:ascii="Arial" w:hAnsi="Arial" w:cs="Arial"/>
              </w:rPr>
              <w:t xml:space="preserve">Property Particulars </w:t>
            </w:r>
          </w:p>
        </w:tc>
        <w:tc>
          <w:tcPr>
            <w:tcW w:w="1555" w:type="dxa"/>
          </w:tcPr>
          <w:p w:rsidR="0080729B" w:rsidRPr="000F2014" w:rsidRDefault="0080729B" w:rsidP="006478E4">
            <w:pPr>
              <w:pStyle w:val="NoSpacing"/>
              <w:rPr>
                <w:rFonts w:ascii="Arial" w:hAnsi="Arial" w:cs="Arial"/>
              </w:rPr>
            </w:pPr>
          </w:p>
        </w:tc>
      </w:tr>
      <w:tr w:rsidR="0080729B" w:rsidRPr="000F2014" w:rsidTr="006478E4">
        <w:trPr>
          <w:trHeight w:val="225"/>
        </w:trPr>
        <w:tc>
          <w:tcPr>
            <w:tcW w:w="1668" w:type="dxa"/>
            <w:vMerge/>
          </w:tcPr>
          <w:p w:rsidR="0080729B" w:rsidRPr="000F2014" w:rsidRDefault="0080729B" w:rsidP="006478E4">
            <w:pPr>
              <w:rPr>
                <w:rFonts w:ascii="Arial" w:hAnsi="Arial" w:cs="Arial"/>
              </w:rPr>
            </w:pPr>
          </w:p>
        </w:tc>
        <w:tc>
          <w:tcPr>
            <w:tcW w:w="5793" w:type="dxa"/>
            <w:gridSpan w:val="2"/>
          </w:tcPr>
          <w:p w:rsidR="0080729B" w:rsidRPr="000F2014" w:rsidRDefault="0080729B" w:rsidP="006478E4">
            <w:pPr>
              <w:pStyle w:val="NoSpacing"/>
              <w:rPr>
                <w:rFonts w:ascii="Arial" w:hAnsi="Arial" w:cs="Arial"/>
              </w:rPr>
            </w:pPr>
            <w:r w:rsidRPr="000F2014">
              <w:rPr>
                <w:rFonts w:ascii="Arial" w:hAnsi="Arial" w:cs="Arial"/>
              </w:rPr>
              <w:t>Copy of the initial Desk top valuation</w:t>
            </w:r>
          </w:p>
        </w:tc>
        <w:tc>
          <w:tcPr>
            <w:tcW w:w="1555" w:type="dxa"/>
          </w:tcPr>
          <w:p w:rsidR="0080729B" w:rsidRPr="000F2014" w:rsidRDefault="0080729B" w:rsidP="006478E4">
            <w:pPr>
              <w:pStyle w:val="NoSpacing"/>
              <w:rPr>
                <w:rFonts w:ascii="Arial" w:hAnsi="Arial" w:cs="Arial"/>
                <w:color w:val="548DD4" w:themeColor="text2" w:themeTint="99"/>
              </w:rPr>
            </w:pPr>
          </w:p>
        </w:tc>
      </w:tr>
      <w:tr w:rsidR="0080729B" w:rsidRPr="000F2014" w:rsidTr="006478E4">
        <w:trPr>
          <w:trHeight w:val="225"/>
        </w:trPr>
        <w:tc>
          <w:tcPr>
            <w:tcW w:w="1668" w:type="dxa"/>
            <w:vMerge/>
          </w:tcPr>
          <w:p w:rsidR="0080729B" w:rsidRPr="000F2014" w:rsidRDefault="0080729B" w:rsidP="006478E4">
            <w:pPr>
              <w:rPr>
                <w:rFonts w:ascii="Arial" w:hAnsi="Arial" w:cs="Arial"/>
              </w:rPr>
            </w:pPr>
          </w:p>
        </w:tc>
        <w:tc>
          <w:tcPr>
            <w:tcW w:w="5793" w:type="dxa"/>
            <w:gridSpan w:val="2"/>
          </w:tcPr>
          <w:p w:rsidR="0080729B" w:rsidRPr="000F2014" w:rsidRDefault="0080729B" w:rsidP="006478E4">
            <w:pPr>
              <w:pStyle w:val="NoSpacing"/>
              <w:rPr>
                <w:rFonts w:ascii="Arial" w:hAnsi="Arial" w:cs="Arial"/>
              </w:rPr>
            </w:pPr>
            <w:r w:rsidRPr="000F2014">
              <w:rPr>
                <w:rFonts w:ascii="Arial" w:hAnsi="Arial" w:cs="Arial"/>
              </w:rPr>
              <w:t>Financial Appraisal</w:t>
            </w:r>
          </w:p>
        </w:tc>
        <w:tc>
          <w:tcPr>
            <w:tcW w:w="1555" w:type="dxa"/>
          </w:tcPr>
          <w:p w:rsidR="0080729B" w:rsidRPr="000F2014" w:rsidRDefault="0080729B" w:rsidP="006478E4">
            <w:pPr>
              <w:pStyle w:val="NoSpacing"/>
              <w:rPr>
                <w:rFonts w:ascii="Arial" w:hAnsi="Arial" w:cs="Arial"/>
                <w:color w:val="548DD4" w:themeColor="text2" w:themeTint="99"/>
              </w:rPr>
            </w:pPr>
          </w:p>
        </w:tc>
      </w:tr>
      <w:tr w:rsidR="0080729B" w:rsidRPr="000F2014" w:rsidTr="006478E4">
        <w:trPr>
          <w:trHeight w:val="225"/>
        </w:trPr>
        <w:tc>
          <w:tcPr>
            <w:tcW w:w="1668" w:type="dxa"/>
          </w:tcPr>
          <w:p w:rsidR="0080729B" w:rsidRPr="000F2014" w:rsidRDefault="0080729B" w:rsidP="006478E4">
            <w:pPr>
              <w:rPr>
                <w:rFonts w:ascii="Arial" w:hAnsi="Arial" w:cs="Arial"/>
              </w:rPr>
            </w:pPr>
          </w:p>
        </w:tc>
        <w:tc>
          <w:tcPr>
            <w:tcW w:w="5793" w:type="dxa"/>
            <w:gridSpan w:val="2"/>
          </w:tcPr>
          <w:p w:rsidR="0080729B" w:rsidRPr="000F2014" w:rsidRDefault="0080729B" w:rsidP="006478E4">
            <w:pPr>
              <w:pStyle w:val="NoSpacing"/>
              <w:rPr>
                <w:rFonts w:ascii="Arial" w:hAnsi="Arial" w:cs="Arial"/>
              </w:rPr>
            </w:pPr>
          </w:p>
        </w:tc>
        <w:tc>
          <w:tcPr>
            <w:tcW w:w="1555" w:type="dxa"/>
          </w:tcPr>
          <w:p w:rsidR="0080729B" w:rsidRPr="000F2014" w:rsidRDefault="0080729B" w:rsidP="006478E4">
            <w:pPr>
              <w:pStyle w:val="NoSpacing"/>
              <w:rPr>
                <w:rFonts w:ascii="Arial" w:hAnsi="Arial" w:cs="Arial"/>
                <w:color w:val="548DD4" w:themeColor="text2" w:themeTint="99"/>
              </w:rPr>
            </w:pPr>
          </w:p>
        </w:tc>
      </w:tr>
    </w:tbl>
    <w:p w:rsidR="0080729B" w:rsidRPr="000F2014" w:rsidRDefault="0080729B" w:rsidP="0080729B">
      <w:pPr>
        <w:rPr>
          <w:rFonts w:ascii="Arial" w:hAnsi="Arial" w:cs="Arial"/>
        </w:rPr>
      </w:pPr>
    </w:p>
    <w:p w:rsidR="0080729B" w:rsidRPr="00AF028C" w:rsidRDefault="0080729B" w:rsidP="0080729B">
      <w:pPr>
        <w:pBdr>
          <w:top w:val="single" w:sz="4" w:space="1" w:color="auto"/>
          <w:left w:val="single" w:sz="4" w:space="4" w:color="auto"/>
          <w:bottom w:val="single" w:sz="4" w:space="1" w:color="auto"/>
          <w:right w:val="single" w:sz="4" w:space="4" w:color="auto"/>
        </w:pBdr>
        <w:rPr>
          <w:rFonts w:ascii="Arial" w:hAnsi="Arial" w:cs="Arial"/>
          <w:b/>
          <w:color w:val="FF0000"/>
        </w:rPr>
      </w:pPr>
      <w:r w:rsidRPr="00AF028C">
        <w:rPr>
          <w:rFonts w:ascii="Arial" w:hAnsi="Arial" w:cs="Arial"/>
          <w:b/>
          <w:color w:val="FF0000"/>
        </w:rPr>
        <w:t xml:space="preserve">Signed: </w:t>
      </w:r>
      <w:r w:rsidRPr="00AF028C">
        <w:rPr>
          <w:rFonts w:ascii="Arial" w:hAnsi="Arial" w:cs="Arial"/>
          <w:b/>
          <w:color w:val="FF0000"/>
        </w:rPr>
        <w:tab/>
      </w:r>
    </w:p>
    <w:p w:rsidR="0080729B" w:rsidRPr="0080729B" w:rsidRDefault="0080729B" w:rsidP="0080729B">
      <w:pPr>
        <w:pBdr>
          <w:top w:val="single" w:sz="4" w:space="1" w:color="auto"/>
          <w:left w:val="single" w:sz="4" w:space="4" w:color="auto"/>
          <w:bottom w:val="single" w:sz="4" w:space="1" w:color="auto"/>
          <w:right w:val="single" w:sz="4" w:space="4" w:color="auto"/>
        </w:pBdr>
        <w:rPr>
          <w:rFonts w:ascii="Arial" w:hAnsi="Arial" w:cs="Arial"/>
          <w:b/>
          <w:color w:val="FF0000"/>
        </w:rPr>
      </w:pPr>
      <w:r w:rsidRPr="00AF028C">
        <w:rPr>
          <w:rFonts w:ascii="Arial" w:hAnsi="Arial" w:cs="Arial"/>
          <w:b/>
          <w:color w:val="FF0000"/>
        </w:rPr>
        <w:t>Investment Manager External Adviser</w:t>
      </w:r>
    </w:p>
    <w:sectPr w:rsidR="0080729B" w:rsidRPr="0080729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FD5" w:rsidRDefault="004E3FD5" w:rsidP="006C6799">
      <w:pPr>
        <w:spacing w:after="0" w:line="240" w:lineRule="auto"/>
      </w:pPr>
      <w:r>
        <w:separator/>
      </w:r>
    </w:p>
  </w:endnote>
  <w:endnote w:type="continuationSeparator" w:id="0">
    <w:p w:rsidR="004E3FD5" w:rsidRDefault="004E3FD5" w:rsidP="006C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799" w:rsidRDefault="006C6799" w:rsidP="006C6799">
    <w:pPr>
      <w:pStyle w:val="Footer"/>
      <w:tabs>
        <w:tab w:val="clear" w:pos="4513"/>
        <w:tab w:val="clear" w:pos="9026"/>
        <w:tab w:val="left" w:pos="4035"/>
      </w:tabs>
    </w:pP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FD5" w:rsidRDefault="004E3FD5" w:rsidP="006C6799">
      <w:pPr>
        <w:spacing w:after="0" w:line="240" w:lineRule="auto"/>
      </w:pPr>
      <w:r>
        <w:separator/>
      </w:r>
    </w:p>
  </w:footnote>
  <w:footnote w:type="continuationSeparator" w:id="0">
    <w:p w:rsidR="004E3FD5" w:rsidRDefault="004E3FD5" w:rsidP="006C6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DBC"/>
    <w:multiLevelType w:val="hybridMultilevel"/>
    <w:tmpl w:val="B05C57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04A18"/>
    <w:multiLevelType w:val="hybridMultilevel"/>
    <w:tmpl w:val="3B883D88"/>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639FA"/>
    <w:multiLevelType w:val="hybridMultilevel"/>
    <w:tmpl w:val="2D766A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C5F3E"/>
    <w:multiLevelType w:val="hybridMultilevel"/>
    <w:tmpl w:val="B210B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4C2A7B"/>
    <w:multiLevelType w:val="multilevel"/>
    <w:tmpl w:val="A8B2453E"/>
    <w:lvl w:ilvl="0">
      <w:start w:val="3"/>
      <w:numFmt w:val="decimal"/>
      <w:lvlText w:val="%1."/>
      <w:lvlJc w:val="left"/>
      <w:pPr>
        <w:ind w:left="144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386C3609"/>
    <w:multiLevelType w:val="hybridMultilevel"/>
    <w:tmpl w:val="B05C57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652989"/>
    <w:multiLevelType w:val="hybridMultilevel"/>
    <w:tmpl w:val="B05C57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0F18F4"/>
    <w:multiLevelType w:val="hybridMultilevel"/>
    <w:tmpl w:val="B01E16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224FB3"/>
    <w:multiLevelType w:val="hybridMultilevel"/>
    <w:tmpl w:val="BE28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7"/>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D4"/>
    <w:rsid w:val="0004437E"/>
    <w:rsid w:val="00056C49"/>
    <w:rsid w:val="000604C5"/>
    <w:rsid w:val="00073F34"/>
    <w:rsid w:val="000A2B9E"/>
    <w:rsid w:val="00102935"/>
    <w:rsid w:val="00111BE7"/>
    <w:rsid w:val="00154349"/>
    <w:rsid w:val="00175DC3"/>
    <w:rsid w:val="00176633"/>
    <w:rsid w:val="001D0771"/>
    <w:rsid w:val="00213B7E"/>
    <w:rsid w:val="00217956"/>
    <w:rsid w:val="00221BF5"/>
    <w:rsid w:val="00222855"/>
    <w:rsid w:val="00244AB1"/>
    <w:rsid w:val="00254DDE"/>
    <w:rsid w:val="0027117D"/>
    <w:rsid w:val="0029289D"/>
    <w:rsid w:val="003042F6"/>
    <w:rsid w:val="00304750"/>
    <w:rsid w:val="00345E43"/>
    <w:rsid w:val="003915DC"/>
    <w:rsid w:val="003A09CC"/>
    <w:rsid w:val="003A36E6"/>
    <w:rsid w:val="003A7A48"/>
    <w:rsid w:val="003D3321"/>
    <w:rsid w:val="004052CB"/>
    <w:rsid w:val="004672C9"/>
    <w:rsid w:val="004A4362"/>
    <w:rsid w:val="004B5017"/>
    <w:rsid w:val="004D16D4"/>
    <w:rsid w:val="004E3FD5"/>
    <w:rsid w:val="005076B3"/>
    <w:rsid w:val="00511632"/>
    <w:rsid w:val="00512E69"/>
    <w:rsid w:val="00567ABC"/>
    <w:rsid w:val="005727CF"/>
    <w:rsid w:val="0059747D"/>
    <w:rsid w:val="005E72A9"/>
    <w:rsid w:val="00621144"/>
    <w:rsid w:val="00626E84"/>
    <w:rsid w:val="00696809"/>
    <w:rsid w:val="006A2A21"/>
    <w:rsid w:val="006C19FF"/>
    <w:rsid w:val="006C1FB2"/>
    <w:rsid w:val="006C6799"/>
    <w:rsid w:val="006C71FC"/>
    <w:rsid w:val="006E4BF6"/>
    <w:rsid w:val="007119B7"/>
    <w:rsid w:val="00740F26"/>
    <w:rsid w:val="00745E9E"/>
    <w:rsid w:val="007A1E1C"/>
    <w:rsid w:val="007D1009"/>
    <w:rsid w:val="0080729B"/>
    <w:rsid w:val="00823663"/>
    <w:rsid w:val="00866351"/>
    <w:rsid w:val="00873C9D"/>
    <w:rsid w:val="008D4C87"/>
    <w:rsid w:val="00904E56"/>
    <w:rsid w:val="009259DB"/>
    <w:rsid w:val="00957DDB"/>
    <w:rsid w:val="009607CC"/>
    <w:rsid w:val="009759F2"/>
    <w:rsid w:val="009936F5"/>
    <w:rsid w:val="009B654B"/>
    <w:rsid w:val="009C03CA"/>
    <w:rsid w:val="009C2927"/>
    <w:rsid w:val="009D5909"/>
    <w:rsid w:val="009F2B15"/>
    <w:rsid w:val="00A07C6A"/>
    <w:rsid w:val="00A1458D"/>
    <w:rsid w:val="00A56B4F"/>
    <w:rsid w:val="00A7235C"/>
    <w:rsid w:val="00A72F75"/>
    <w:rsid w:val="00A95263"/>
    <w:rsid w:val="00AB282C"/>
    <w:rsid w:val="00AF25E8"/>
    <w:rsid w:val="00B03C8A"/>
    <w:rsid w:val="00B07CCD"/>
    <w:rsid w:val="00B32FEF"/>
    <w:rsid w:val="00B469AD"/>
    <w:rsid w:val="00B55D65"/>
    <w:rsid w:val="00B709D4"/>
    <w:rsid w:val="00B91C61"/>
    <w:rsid w:val="00BC1E3B"/>
    <w:rsid w:val="00BE0EBD"/>
    <w:rsid w:val="00C173F9"/>
    <w:rsid w:val="00C57DFF"/>
    <w:rsid w:val="00C7347D"/>
    <w:rsid w:val="00C82ADF"/>
    <w:rsid w:val="00C85FC5"/>
    <w:rsid w:val="00C87E1F"/>
    <w:rsid w:val="00CA0CBD"/>
    <w:rsid w:val="00CE189C"/>
    <w:rsid w:val="00CE5C32"/>
    <w:rsid w:val="00CF2E3D"/>
    <w:rsid w:val="00D16417"/>
    <w:rsid w:val="00D16DD6"/>
    <w:rsid w:val="00D52943"/>
    <w:rsid w:val="00D62AA6"/>
    <w:rsid w:val="00D769A9"/>
    <w:rsid w:val="00D866FF"/>
    <w:rsid w:val="00D871C0"/>
    <w:rsid w:val="00DB63E2"/>
    <w:rsid w:val="00DF72C1"/>
    <w:rsid w:val="00E02A11"/>
    <w:rsid w:val="00E24926"/>
    <w:rsid w:val="00E54095"/>
    <w:rsid w:val="00E9621D"/>
    <w:rsid w:val="00EB2F15"/>
    <w:rsid w:val="00EE524D"/>
    <w:rsid w:val="00F85067"/>
    <w:rsid w:val="00F95062"/>
    <w:rsid w:val="00FC6FC0"/>
    <w:rsid w:val="00FF3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FCE2E-10A8-4EED-B933-63578C0D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87"/>
    <w:rPr>
      <w:rFonts w:ascii="Tahoma" w:hAnsi="Tahoma" w:cs="Tahoma"/>
      <w:sz w:val="16"/>
      <w:szCs w:val="16"/>
    </w:rPr>
  </w:style>
  <w:style w:type="paragraph" w:styleId="Header">
    <w:name w:val="header"/>
    <w:basedOn w:val="Normal"/>
    <w:link w:val="HeaderChar"/>
    <w:uiPriority w:val="99"/>
    <w:unhideWhenUsed/>
    <w:rsid w:val="006C6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99"/>
  </w:style>
  <w:style w:type="paragraph" w:styleId="Footer">
    <w:name w:val="footer"/>
    <w:basedOn w:val="Normal"/>
    <w:link w:val="FooterChar"/>
    <w:uiPriority w:val="99"/>
    <w:unhideWhenUsed/>
    <w:rsid w:val="006C6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99"/>
  </w:style>
  <w:style w:type="paragraph" w:styleId="ListParagraph">
    <w:name w:val="List Paragraph"/>
    <w:basedOn w:val="Normal"/>
    <w:uiPriority w:val="34"/>
    <w:qFormat/>
    <w:rsid w:val="00DB63E2"/>
    <w:pPr>
      <w:ind w:left="720"/>
      <w:contextualSpacing/>
    </w:pPr>
  </w:style>
  <w:style w:type="paragraph" w:styleId="NoSpacing">
    <w:name w:val="No Spacing"/>
    <w:uiPriority w:val="1"/>
    <w:qFormat/>
    <w:rsid w:val="0080729B"/>
    <w:pPr>
      <w:spacing w:after="0" w:line="240" w:lineRule="auto"/>
    </w:pPr>
  </w:style>
  <w:style w:type="table" w:styleId="TableGrid">
    <w:name w:val="Table Grid"/>
    <w:basedOn w:val="TableNormal"/>
    <w:uiPriority w:val="59"/>
    <w:rsid w:val="00807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Stevenage Borough Council</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Julie.Herbert</dc:creator>
  <cp:lastModifiedBy>O'Neil,Noel</cp:lastModifiedBy>
  <cp:revision>16</cp:revision>
  <cp:lastPrinted>2017-10-31T08:28:00Z</cp:lastPrinted>
  <dcterms:created xsi:type="dcterms:W3CDTF">2017-10-02T12:26:00Z</dcterms:created>
  <dcterms:modified xsi:type="dcterms:W3CDTF">2017-10-31T15:30:00Z</dcterms:modified>
</cp:coreProperties>
</file>